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145686">
      <w:pPr>
        <w:pStyle w:val="35"/>
        <w:rPr>
          <w:rFonts w:ascii="Times New Roman" w:hAnsi="Times New Roman" w:cs="Times New Roman"/>
          <w:b/>
          <w:caps/>
          <w:color w:val="auto"/>
        </w:rPr>
      </w:pPr>
      <w:r>
        <w:rPr>
          <w:rFonts w:ascii="Times New Roman" w:hAnsi="Times New Roman" w:cs="Times New Roman"/>
          <w:color w:val="auto"/>
          <w:lang w:val="en-US"/>
        </w:rPr>
        <w:drawing>
          <wp:anchor distT="0" distB="0" distL="114300" distR="114300" simplePos="0" relativeHeight="251674624" behindDoc="0" locked="0" layoutInCell="1" allowOverlap="1">
            <wp:simplePos x="0" y="0"/>
            <wp:positionH relativeFrom="column">
              <wp:posOffset>-194945</wp:posOffset>
            </wp:positionH>
            <wp:positionV relativeFrom="page">
              <wp:posOffset>661035</wp:posOffset>
            </wp:positionV>
            <wp:extent cx="1617345" cy="1364615"/>
            <wp:effectExtent l="0" t="0" r="0" b="0"/>
            <wp:wrapTopAndBottom/>
            <wp:docPr id="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
                    <pic:cNvPicPr>
                      <a:picLocks noChangeAspect="1"/>
                    </pic:cNvPicPr>
                  </pic:nvPicPr>
                  <pic:blipFill>
                    <a:blip r:embed="rId21"/>
                    <a:stretch>
                      <a:fillRect/>
                    </a:stretch>
                  </pic:blipFill>
                  <pic:spPr>
                    <a:xfrm>
                      <a:off x="0" y="0"/>
                      <a:ext cx="1617345" cy="1364615"/>
                    </a:xfrm>
                    <a:prstGeom prst="rect">
                      <a:avLst/>
                    </a:prstGeom>
                    <a:noFill/>
                    <a:ln>
                      <a:noFill/>
                    </a:ln>
                  </pic:spPr>
                </pic:pic>
              </a:graphicData>
            </a:graphic>
          </wp:anchor>
        </w:drawing>
      </w:r>
      <w:r>
        <w:rPr>
          <w:rFonts w:ascii="Times New Roman" w:hAnsi="Times New Roman" w:cs="Times New Roman"/>
          <w:color w:val="auto"/>
          <w:lang w:val="en-US"/>
        </w:rPr>
        <w:drawing>
          <wp:anchor distT="0" distB="0" distL="114300" distR="114300" simplePos="0" relativeHeight="251675648" behindDoc="0" locked="0" layoutInCell="1" allowOverlap="1">
            <wp:simplePos x="0" y="0"/>
            <wp:positionH relativeFrom="page">
              <wp:posOffset>3138170</wp:posOffset>
            </wp:positionH>
            <wp:positionV relativeFrom="page">
              <wp:posOffset>829945</wp:posOffset>
            </wp:positionV>
            <wp:extent cx="1563370" cy="1252220"/>
            <wp:effectExtent l="0" t="0" r="17780" b="5080"/>
            <wp:wrapTopAndBottom/>
            <wp:docPr id="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8"/>
                    <pic:cNvPicPr>
                      <a:picLocks noChangeAspect="1"/>
                    </pic:cNvPicPr>
                  </pic:nvPicPr>
                  <pic:blipFill>
                    <a:blip r:embed="rId22"/>
                    <a:stretch>
                      <a:fillRect/>
                    </a:stretch>
                  </pic:blipFill>
                  <pic:spPr>
                    <a:xfrm>
                      <a:off x="0" y="0"/>
                      <a:ext cx="1563370" cy="1252220"/>
                    </a:xfrm>
                    <a:prstGeom prst="rect">
                      <a:avLst/>
                    </a:prstGeom>
                    <a:noFill/>
                    <a:ln>
                      <a:noFill/>
                    </a:ln>
                  </pic:spPr>
                </pic:pic>
              </a:graphicData>
            </a:graphic>
          </wp:anchor>
        </w:drawing>
      </w:r>
      <w:r>
        <w:rPr>
          <w:rFonts w:ascii="Times New Roman" w:hAnsi="Times New Roman" w:cs="Times New Roman"/>
          <w:color w:val="auto"/>
          <w:lang w:val="en-US"/>
        </w:rPr>
        <w:drawing>
          <wp:anchor distT="0" distB="0" distL="114300" distR="114300" simplePos="0" relativeHeight="251676672" behindDoc="0" locked="0" layoutInCell="1" allowOverlap="1">
            <wp:simplePos x="0" y="0"/>
            <wp:positionH relativeFrom="column">
              <wp:posOffset>4034790</wp:posOffset>
            </wp:positionH>
            <wp:positionV relativeFrom="page">
              <wp:posOffset>708025</wp:posOffset>
            </wp:positionV>
            <wp:extent cx="1459230" cy="1454150"/>
            <wp:effectExtent l="0" t="0" r="7620" b="12700"/>
            <wp:wrapTopAndBottom/>
            <wp:docPr id="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7"/>
                    <pic:cNvPicPr>
                      <a:picLocks noChangeAspect="1"/>
                    </pic:cNvPicPr>
                  </pic:nvPicPr>
                  <pic:blipFill>
                    <a:blip r:embed="rId23"/>
                    <a:stretch>
                      <a:fillRect/>
                    </a:stretch>
                  </pic:blipFill>
                  <pic:spPr>
                    <a:xfrm>
                      <a:off x="0" y="0"/>
                      <a:ext cx="1459230" cy="1454150"/>
                    </a:xfrm>
                    <a:prstGeom prst="rect">
                      <a:avLst/>
                    </a:prstGeom>
                    <a:noFill/>
                    <a:ln>
                      <a:noFill/>
                    </a:ln>
                  </pic:spPr>
                </pic:pic>
              </a:graphicData>
            </a:graphic>
          </wp:anchor>
        </w:drawing>
      </w:r>
    </w:p>
    <w:p w14:paraId="1D484CE4">
      <w:pPr>
        <w:spacing w:line="480" w:lineRule="auto"/>
        <w:jc w:val="center"/>
        <w:rPr>
          <w:rFonts w:ascii="Times New Roman" w:hAnsi="Times New Roman"/>
          <w:b/>
          <w:caps/>
          <w:sz w:val="28"/>
          <w:szCs w:val="28"/>
        </w:rPr>
      </w:pPr>
      <w:r>
        <w:rPr>
          <w:rFonts w:ascii="Times New Roman" w:hAnsi="Times New Roman"/>
          <w:b/>
          <w:caps/>
          <w:sz w:val="28"/>
          <w:szCs w:val="28"/>
        </w:rPr>
        <w:t>SUMMARY PROJECT REPORT FOR</w:t>
      </w:r>
    </w:p>
    <w:p w14:paraId="79BA8431">
      <w:pPr>
        <w:spacing w:line="480" w:lineRule="auto"/>
        <w:jc w:val="center"/>
        <w:rPr>
          <w:rFonts w:ascii="Times New Roman" w:hAnsi="Times New Roman"/>
          <w:b/>
          <w:caps/>
          <w:sz w:val="28"/>
          <w:szCs w:val="28"/>
        </w:rPr>
      </w:pPr>
      <w:r>
        <w:rPr>
          <w:rFonts w:ascii="Times New Roman" w:hAnsi="Times New Roman"/>
          <w:b/>
          <w:caps/>
          <w:sz w:val="28"/>
          <w:szCs w:val="28"/>
        </w:rPr>
        <w:t>ENVIRONMENTAL &amp; SOCIAL IMPACT ASSESSMENT FOR THE PROPOSED CONSTRUCTION AN ABLUTION BLOCK AT KIMAWASCO Head Office</w:t>
      </w:r>
      <w:r>
        <w:rPr>
          <w:rFonts w:ascii="Times New Roman" w:hAnsi="Times New Roman"/>
          <w:b/>
          <w:caps/>
          <w:sz w:val="28"/>
          <w:szCs w:val="28"/>
          <w:lang w:val="en-US"/>
        </w:rPr>
        <w:t xml:space="preserve"> SITE</w:t>
      </w:r>
      <w:r>
        <w:rPr>
          <w:rFonts w:ascii="Times New Roman" w:hAnsi="Times New Roman"/>
          <w:b/>
          <w:caps/>
          <w:sz w:val="28"/>
          <w:szCs w:val="28"/>
        </w:rPr>
        <w:t xml:space="preserve"> </w:t>
      </w:r>
    </w:p>
    <w:p w14:paraId="036E42F1">
      <w:pPr>
        <w:spacing w:line="480" w:lineRule="auto"/>
        <w:rPr>
          <w:rFonts w:ascii="Times New Roman" w:hAnsi="Times New Roman"/>
          <w:b/>
          <w:caps/>
          <w:sz w:val="28"/>
          <w:szCs w:val="28"/>
        </w:rPr>
      </w:pPr>
    </w:p>
    <w:p w14:paraId="380AC3D6">
      <w:pPr>
        <w:spacing w:line="480" w:lineRule="auto"/>
        <w:ind w:left="2880" w:hanging="2880"/>
        <w:rPr>
          <w:rFonts w:ascii="Times New Roman" w:hAnsi="Times New Roman"/>
          <w:b/>
          <w:caps/>
          <w:sz w:val="28"/>
          <w:szCs w:val="28"/>
          <w:lang w:val="en-US"/>
        </w:rPr>
      </w:pPr>
      <w:r>
        <w:rPr>
          <w:rFonts w:ascii="Times New Roman" w:hAnsi="Times New Roman"/>
          <w:b/>
          <w:caps/>
          <w:sz w:val="28"/>
          <w:szCs w:val="28"/>
        </w:rPr>
        <w:t>PROJECT:</w:t>
      </w:r>
      <w:r>
        <w:rPr>
          <w:rFonts w:ascii="Times New Roman" w:hAnsi="Times New Roman"/>
          <w:b/>
          <w:caps/>
          <w:sz w:val="28"/>
          <w:szCs w:val="28"/>
        </w:rPr>
        <w:tab/>
      </w:r>
      <w:r>
        <w:rPr>
          <w:rFonts w:ascii="Times New Roman" w:hAnsi="Times New Roman"/>
          <w:b/>
          <w:caps/>
          <w:sz w:val="28"/>
          <w:szCs w:val="28"/>
        </w:rPr>
        <w:t>WATER AND SANITATION DEVELOPMENT PROJECT (WSDP</w:t>
      </w:r>
      <w:r>
        <w:rPr>
          <w:rFonts w:ascii="Times New Roman" w:hAnsi="Times New Roman"/>
          <w:b/>
          <w:caps/>
          <w:sz w:val="28"/>
          <w:szCs w:val="28"/>
          <w:lang w:val="en-US"/>
        </w:rPr>
        <w:t>)</w:t>
      </w:r>
    </w:p>
    <w:p w14:paraId="1007A9A2">
      <w:pPr>
        <w:spacing w:line="480" w:lineRule="auto"/>
        <w:ind w:left="2880" w:hanging="2880"/>
        <w:rPr>
          <w:rFonts w:ascii="Times New Roman" w:hAnsi="Times New Roman"/>
          <w:b/>
          <w:caps/>
          <w:sz w:val="28"/>
          <w:szCs w:val="28"/>
        </w:rPr>
      </w:pPr>
      <w:r>
        <w:rPr>
          <w:rFonts w:ascii="Times New Roman" w:hAnsi="Times New Roman"/>
          <w:b/>
          <w:caps/>
          <w:sz w:val="28"/>
          <w:szCs w:val="28"/>
        </w:rPr>
        <w:t xml:space="preserve">CREDIT NO.: </w:t>
      </w:r>
      <w:r>
        <w:rPr>
          <w:rFonts w:ascii="Times New Roman" w:hAnsi="Times New Roman"/>
          <w:b/>
          <w:caps/>
          <w:sz w:val="28"/>
          <w:szCs w:val="28"/>
        </w:rPr>
        <w:tab/>
      </w:r>
      <w:r>
        <w:rPr>
          <w:rFonts w:ascii="Times New Roman" w:hAnsi="Times New Roman"/>
          <w:b/>
          <w:caps/>
          <w:sz w:val="28"/>
          <w:szCs w:val="28"/>
        </w:rPr>
        <w:t>IDA -60300KE</w:t>
      </w:r>
    </w:p>
    <w:p w14:paraId="11036ADF">
      <w:pPr>
        <w:spacing w:line="480" w:lineRule="auto"/>
        <w:ind w:left="2880" w:hanging="2880"/>
        <w:rPr>
          <w:rFonts w:ascii="Times New Roman" w:hAnsi="Times New Roman"/>
          <w:b/>
          <w:caps/>
          <w:sz w:val="28"/>
          <w:szCs w:val="28"/>
        </w:rPr>
      </w:pPr>
      <w:r>
        <w:rPr>
          <w:rFonts w:ascii="Times New Roman" w:hAnsi="Times New Roman"/>
          <w:b/>
          <w:caps/>
          <w:sz w:val="28"/>
          <w:szCs w:val="28"/>
        </w:rPr>
        <w:t>COUNTRY:</w:t>
      </w:r>
      <w:r>
        <w:rPr>
          <w:rFonts w:ascii="Times New Roman" w:hAnsi="Times New Roman"/>
          <w:b/>
          <w:caps/>
          <w:sz w:val="28"/>
          <w:szCs w:val="28"/>
        </w:rPr>
        <w:tab/>
      </w:r>
      <w:r>
        <w:rPr>
          <w:rFonts w:ascii="Times New Roman" w:hAnsi="Times New Roman"/>
          <w:b/>
          <w:caps/>
          <w:sz w:val="28"/>
          <w:szCs w:val="28"/>
        </w:rPr>
        <w:t>REPUBLIC OF KENYA</w:t>
      </w:r>
    </w:p>
    <w:p w14:paraId="4B279745">
      <w:pPr>
        <w:spacing w:line="480" w:lineRule="auto"/>
        <w:ind w:left="2880" w:hanging="2880"/>
        <w:rPr>
          <w:rFonts w:ascii="Times New Roman" w:hAnsi="Times New Roman"/>
          <w:b/>
          <w:caps/>
          <w:sz w:val="28"/>
          <w:szCs w:val="28"/>
        </w:rPr>
      </w:pPr>
      <w:r>
        <w:rPr>
          <w:rFonts w:ascii="Times New Roman" w:hAnsi="Times New Roman"/>
          <w:b/>
          <w:caps/>
          <w:sz w:val="28"/>
          <w:szCs w:val="28"/>
        </w:rPr>
        <w:t>PROPONENT:</w:t>
      </w:r>
      <w:r>
        <w:rPr>
          <w:rFonts w:ascii="Times New Roman" w:hAnsi="Times New Roman"/>
          <w:b/>
          <w:caps/>
          <w:sz w:val="28"/>
          <w:szCs w:val="28"/>
        </w:rPr>
        <w:tab/>
      </w:r>
      <w:r>
        <w:rPr>
          <w:rFonts w:ascii="Times New Roman" w:hAnsi="Times New Roman"/>
          <w:b/>
          <w:caps/>
          <w:sz w:val="28"/>
          <w:szCs w:val="28"/>
        </w:rPr>
        <w:t>KILIFI MARIAKANI WATER AND SEWERAGE COMPANY</w:t>
      </w:r>
    </w:p>
    <w:p w14:paraId="48E31CFD">
      <w:pPr>
        <w:spacing w:line="480" w:lineRule="auto"/>
        <w:rPr>
          <w:rFonts w:ascii="Times New Roman" w:hAnsi="Times New Roman"/>
          <w:b/>
          <w:caps/>
          <w:sz w:val="28"/>
          <w:szCs w:val="28"/>
          <w:lang w:val="en-US"/>
        </w:rPr>
      </w:pPr>
      <w:r>
        <w:rPr>
          <w:rFonts w:ascii="Times New Roman" w:hAnsi="Times New Roman"/>
          <w:b/>
          <w:caps/>
          <w:sz w:val="28"/>
          <w:szCs w:val="28"/>
        </w:rPr>
        <w:t>SUBMITTED ON:</w:t>
      </w:r>
      <w:r>
        <w:rPr>
          <w:rFonts w:ascii="Times New Roman" w:hAnsi="Times New Roman"/>
          <w:b/>
          <w:caps/>
          <w:sz w:val="28"/>
          <w:szCs w:val="28"/>
        </w:rPr>
        <w:tab/>
      </w:r>
      <w:r>
        <w:rPr>
          <w:rFonts w:ascii="Times New Roman" w:hAnsi="Times New Roman"/>
          <w:b/>
          <w:caps/>
          <w:sz w:val="28"/>
          <w:szCs w:val="28"/>
          <w:lang w:val="en-US"/>
        </w:rPr>
        <w:tab/>
      </w:r>
      <w:r>
        <w:rPr>
          <w:rFonts w:ascii="Times New Roman" w:hAnsi="Times New Roman"/>
          <w:b/>
          <w:caps/>
          <w:sz w:val="28"/>
          <w:szCs w:val="28"/>
        </w:rPr>
        <w:t>JANUARY 2026</w:t>
      </w:r>
    </w:p>
    <w:p w14:paraId="4BDBF777">
      <w:pPr>
        <w:spacing w:line="480" w:lineRule="auto"/>
        <w:rPr>
          <w:rFonts w:ascii="Times New Roman" w:hAnsi="Times New Roman"/>
          <w:b/>
          <w:caps/>
          <w:szCs w:val="24"/>
        </w:rPr>
      </w:pPr>
    </w:p>
    <w:p w14:paraId="50B17D1A">
      <w:pPr>
        <w:spacing w:line="480" w:lineRule="auto"/>
        <w:rPr>
          <w:rFonts w:ascii="Times New Roman" w:hAnsi="Times New Roman"/>
          <w:b/>
          <w:caps/>
          <w:szCs w:val="24"/>
        </w:rPr>
      </w:pPr>
    </w:p>
    <w:p w14:paraId="4419255D">
      <w:pPr>
        <w:spacing w:line="480" w:lineRule="auto"/>
        <w:rPr>
          <w:rFonts w:ascii="Times New Roman" w:hAnsi="Times New Roman"/>
          <w:b/>
          <w:caps/>
          <w:szCs w:val="24"/>
        </w:rPr>
      </w:pPr>
    </w:p>
    <w:p w14:paraId="13BB2F3D">
      <w:pPr>
        <w:spacing w:line="480" w:lineRule="auto"/>
        <w:rPr>
          <w:rFonts w:ascii="Times New Roman" w:hAnsi="Times New Roman"/>
          <w:b/>
          <w:caps/>
          <w:szCs w:val="24"/>
        </w:rPr>
      </w:pPr>
    </w:p>
    <w:p w14:paraId="0F0FF175">
      <w:pPr>
        <w:pStyle w:val="3"/>
        <w:rPr>
          <w:rFonts w:ascii="Times New Roman" w:hAnsi="Times New Roman" w:cs="Times New Roman"/>
        </w:rPr>
      </w:pPr>
      <w:bookmarkStart w:id="0" w:name="_Toc220710776"/>
      <w:r>
        <w:rPr>
          <w:rFonts w:ascii="Times New Roman" w:hAnsi="Times New Roman" w:cs="Times New Roman"/>
        </w:rPr>
        <w:t>Declaration</w:t>
      </w:r>
      <w:bookmarkEnd w:id="0"/>
      <w:r>
        <w:rPr>
          <w:rFonts w:ascii="Times New Roman" w:hAnsi="Times New Roman" w:cs="Times New Roman"/>
        </w:rPr>
        <w:t xml:space="preserve"> </w:t>
      </w:r>
    </w:p>
    <w:p w14:paraId="71AED51E">
      <w:pPr>
        <w:spacing w:after="120" w:line="240" w:lineRule="auto"/>
        <w:ind w:left="125" w:right="178"/>
        <w:rPr>
          <w:rFonts w:ascii="Times New Roman" w:hAnsi="Times New Roman"/>
          <w:szCs w:val="24"/>
          <w:u w:val="single" w:color="000000"/>
        </w:rPr>
      </w:pPr>
    </w:p>
    <w:p w14:paraId="5B32C1E7">
      <w:pPr>
        <w:spacing w:after="120" w:line="240" w:lineRule="auto"/>
        <w:ind w:left="125" w:right="178"/>
        <w:rPr>
          <w:rFonts w:ascii="Times New Roman" w:hAnsi="Times New Roman"/>
          <w:szCs w:val="24"/>
          <w:u w:val="single" w:color="000000"/>
        </w:rPr>
      </w:pPr>
      <w:r>
        <w:rPr>
          <w:rFonts w:ascii="Times New Roman" w:hAnsi="Times New Roman"/>
          <w:szCs w:val="24"/>
          <w:u w:val="single" w:color="000000"/>
        </w:rPr>
        <w:drawing>
          <wp:inline distT="0" distB="0" distL="114300" distR="114300">
            <wp:extent cx="5906770" cy="7875905"/>
            <wp:effectExtent l="0" t="0" r="17780" b="10795"/>
            <wp:docPr id="113" name="Picture 113" descr="WhatsApp Image 2025-12-16 at 08.2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WhatsApp Image 2025-12-16 at 08.26.44(1)"/>
                    <pic:cNvPicPr>
                      <a:picLocks noChangeAspect="1"/>
                    </pic:cNvPicPr>
                  </pic:nvPicPr>
                  <pic:blipFill>
                    <a:blip r:embed="rId24"/>
                    <a:stretch>
                      <a:fillRect/>
                    </a:stretch>
                  </pic:blipFill>
                  <pic:spPr>
                    <a:xfrm>
                      <a:off x="0" y="0"/>
                      <a:ext cx="5906770" cy="7875905"/>
                    </a:xfrm>
                    <a:prstGeom prst="rect">
                      <a:avLst/>
                    </a:prstGeom>
                  </pic:spPr>
                </pic:pic>
              </a:graphicData>
            </a:graphic>
          </wp:inline>
        </w:drawing>
      </w:r>
    </w:p>
    <w:p w14:paraId="4545AB3C">
      <w:pPr>
        <w:spacing w:after="120" w:line="240" w:lineRule="auto"/>
        <w:ind w:left="125" w:right="178"/>
        <w:rPr>
          <w:rFonts w:ascii="Times New Roman" w:hAnsi="Times New Roman"/>
          <w:szCs w:val="24"/>
          <w:u w:val="single" w:color="000000"/>
        </w:rPr>
      </w:pPr>
    </w:p>
    <w:p w14:paraId="1CC7015A">
      <w:pPr>
        <w:spacing w:after="120" w:line="240" w:lineRule="auto"/>
        <w:ind w:left="125" w:right="178"/>
        <w:rPr>
          <w:rFonts w:ascii="Times New Roman" w:hAnsi="Times New Roman"/>
          <w:szCs w:val="24"/>
          <w:u w:val="single" w:color="000000"/>
        </w:rPr>
      </w:pPr>
    </w:p>
    <w:p w14:paraId="198BAA65">
      <w:pPr>
        <w:pStyle w:val="2"/>
        <w:numPr>
          <w:ilvl w:val="0"/>
          <w:numId w:val="0"/>
        </w:numPr>
        <w:spacing w:line="240" w:lineRule="auto"/>
        <w:ind w:left="432" w:hanging="432"/>
        <w:rPr>
          <w:rFonts w:ascii="Times New Roman" w:hAnsi="Times New Roman"/>
          <w:szCs w:val="24"/>
        </w:rPr>
      </w:pPr>
      <w:bookmarkStart w:id="1" w:name="_Toc14373"/>
      <w:bookmarkStart w:id="2" w:name="_Toc220710777"/>
      <w:bookmarkStart w:id="3" w:name="_Toc20937"/>
      <w:bookmarkStart w:id="4" w:name="_Toc15379"/>
      <w:bookmarkStart w:id="5" w:name="_Toc18753"/>
      <w:r>
        <w:rPr>
          <w:rFonts w:ascii="Times New Roman" w:hAnsi="Times New Roman"/>
          <w:szCs w:val="24"/>
        </w:rPr>
        <w:t>NON- TECHNICAL EXECUTIVE SUMMARY</w:t>
      </w:r>
      <w:bookmarkEnd w:id="1"/>
      <w:bookmarkEnd w:id="2"/>
      <w:bookmarkEnd w:id="3"/>
      <w:bookmarkEnd w:id="4"/>
      <w:bookmarkEnd w:id="5"/>
    </w:p>
    <w:p w14:paraId="1E14B039">
      <w:pPr>
        <w:tabs>
          <w:tab w:val="left" w:pos="425"/>
        </w:tabs>
        <w:spacing w:line="240" w:lineRule="auto"/>
        <w:rPr>
          <w:rFonts w:ascii="Times New Roman" w:hAnsi="Times New Roman"/>
          <w:b/>
          <w:szCs w:val="24"/>
          <w:u w:val="single"/>
        </w:rPr>
      </w:pPr>
      <w:r>
        <w:rPr>
          <w:rFonts w:ascii="Times New Roman" w:hAnsi="Times New Roman"/>
          <w:b/>
          <w:szCs w:val="24"/>
          <w:u w:val="single"/>
        </w:rPr>
        <w:t xml:space="preserve">Project Background </w:t>
      </w:r>
    </w:p>
    <w:p w14:paraId="1AB931C8">
      <w:pPr>
        <w:spacing w:line="240" w:lineRule="auto"/>
        <w:jc w:val="both"/>
        <w:rPr>
          <w:rFonts w:ascii="Times New Roman" w:hAnsi="Times New Roman"/>
          <w:szCs w:val="24"/>
        </w:rPr>
      </w:pPr>
      <w:r>
        <w:rPr>
          <w:rFonts w:ascii="Times New Roman" w:hAnsi="Times New Roman"/>
          <w:szCs w:val="24"/>
        </w:rPr>
        <w:t>Kilifi Mariakani Water and Sewerage Company Limited (KIMAWASCO) was incorporated in November 2005 after the enactment of Water Act 2002. It was a public owned company incorporated under the Company’s Act and wholly owned by Town Councils of Kilifi and Mariakani and the County Council of Kilifi.</w:t>
      </w:r>
    </w:p>
    <w:p w14:paraId="4DB78C8A">
      <w:pPr>
        <w:spacing w:line="240" w:lineRule="auto"/>
        <w:jc w:val="both"/>
        <w:rPr>
          <w:rFonts w:ascii="Times New Roman" w:hAnsi="Times New Roman"/>
          <w:szCs w:val="24"/>
        </w:rPr>
      </w:pPr>
      <w:r>
        <w:rPr>
          <w:rFonts w:ascii="Times New Roman" w:hAnsi="Times New Roman"/>
          <w:szCs w:val="24"/>
        </w:rPr>
        <w:t>In line with the Constitution of Kenya 2010, the provision of water and sanitation services is a devolved function. Consequently, since 2013, KIMAWASCO is owned by the County Government of Kilifi and has been appointed by the Coast Water Works Development Agency (CWWDA) through service provision agreement (SPA) to provide quality water and sewerage services within Kilifi North, Kilifi South, Ganze, Kaloleni, and Rabai sub counties.</w:t>
      </w:r>
    </w:p>
    <w:p w14:paraId="15975D88">
      <w:pPr>
        <w:pStyle w:val="17"/>
        <w:jc w:val="both"/>
      </w:pPr>
      <w:r>
        <w:t>The KIMAWASCO Head Office in Kilifi North Sub-County serves as the central point for administrative operations, customer service, and stakeholder engagement. The office receives a high daily influx of staff, clients, contractors, and members of the public seeking water and sanitation services. Despite this high level of activity, the facility currently lacks a sufficient, modern, and well-designed ablution block that can adequately serve the growing number of users.</w:t>
      </w:r>
    </w:p>
    <w:p w14:paraId="6AEBE440">
      <w:pPr>
        <w:pStyle w:val="17"/>
        <w:jc w:val="both"/>
        <w:rPr>
          <w:rStyle w:val="16"/>
          <w:rFonts w:eastAsia="Calibri"/>
          <w:color w:val="auto"/>
          <w:szCs w:val="22"/>
          <w:u w:val="none"/>
          <w:lang w:eastAsia="en-US"/>
        </w:rPr>
      </w:pPr>
      <w:r>
        <w:t>The existing sanitation facilities are limited in capacity, outdated, and unable to meet current public health and occupational safety standards. This has resulted in congestion, hygiene concerns, reduced user comfort, and operational inefficiencies. The absence of adequate sanitation also exposes the organization to non-compliance with public health regulations and undermines its image as a water and sanitation service provider. If not addressed, the situation may lead to increased sanitation-related complaints, health risks, poor working conditions for staff, and a compromised customer experience.</w:t>
      </w:r>
    </w:p>
    <w:p w14:paraId="76A04DC7">
      <w:pPr>
        <w:tabs>
          <w:tab w:val="left" w:pos="425"/>
        </w:tabs>
        <w:spacing w:line="240" w:lineRule="auto"/>
        <w:rPr>
          <w:rFonts w:ascii="Times New Roman" w:hAnsi="Times New Roman"/>
          <w:b/>
          <w:szCs w:val="24"/>
        </w:rPr>
      </w:pPr>
      <w:r>
        <w:rPr>
          <w:rFonts w:ascii="Times New Roman" w:hAnsi="Times New Roman"/>
          <w:b/>
          <w:szCs w:val="24"/>
        </w:rPr>
        <w:t xml:space="preserve">The proposed Project </w:t>
      </w:r>
    </w:p>
    <w:p w14:paraId="7ED4C619">
      <w:pPr>
        <w:pStyle w:val="8"/>
        <w:spacing w:after="0" w:line="240" w:lineRule="auto"/>
        <w:ind w:right="170" w:firstLine="6"/>
        <w:rPr>
          <w:rFonts w:ascii="Times New Roman" w:hAnsi="Times New Roman" w:cs="Times New Roman"/>
          <w:color w:val="auto"/>
          <w:sz w:val="24"/>
          <w:szCs w:val="24"/>
        </w:rPr>
      </w:pPr>
      <w:r>
        <w:rPr>
          <w:rFonts w:ascii="Times New Roman" w:hAnsi="Times New Roman" w:cs="Times New Roman"/>
          <w:color w:val="auto"/>
          <w:sz w:val="24"/>
          <w:szCs w:val="24"/>
        </w:rPr>
        <w:t>The design of the proposed ablution block inside the KIMAWASCO Office is set to comprise of:</w:t>
      </w:r>
    </w:p>
    <w:p w14:paraId="43C0A232">
      <w:pPr>
        <w:pStyle w:val="32"/>
        <w:numPr>
          <w:ilvl w:val="0"/>
          <w:numId w:val="2"/>
        </w:numPr>
        <w:spacing w:line="240" w:lineRule="auto"/>
        <w:jc w:val="both"/>
        <w:rPr>
          <w:rFonts w:ascii="Times New Roman" w:hAnsi="Times New Roman"/>
          <w:szCs w:val="24"/>
        </w:rPr>
      </w:pPr>
      <w:r>
        <w:rPr>
          <w:rFonts w:ascii="Times New Roman" w:hAnsi="Times New Roman"/>
          <w:szCs w:val="24"/>
        </w:rPr>
        <w:t>8 Nr. Toilets; 4 Nr Male and 4 Nr. Female</w:t>
      </w:r>
    </w:p>
    <w:p w14:paraId="501B2E68">
      <w:pPr>
        <w:pStyle w:val="32"/>
        <w:numPr>
          <w:ilvl w:val="0"/>
          <w:numId w:val="2"/>
        </w:numPr>
        <w:spacing w:line="240" w:lineRule="auto"/>
        <w:jc w:val="both"/>
        <w:rPr>
          <w:rFonts w:ascii="Times New Roman" w:hAnsi="Times New Roman"/>
          <w:szCs w:val="24"/>
        </w:rPr>
      </w:pPr>
      <w:r>
        <w:rPr>
          <w:rFonts w:ascii="Times New Roman" w:hAnsi="Times New Roman"/>
          <w:szCs w:val="24"/>
        </w:rPr>
        <w:t>4 Nr. Shower Rooms; 2 for each Gender.</w:t>
      </w:r>
    </w:p>
    <w:p w14:paraId="3DD0283E">
      <w:pPr>
        <w:pStyle w:val="32"/>
        <w:numPr>
          <w:ilvl w:val="0"/>
          <w:numId w:val="2"/>
        </w:numPr>
        <w:spacing w:line="240" w:lineRule="auto"/>
        <w:jc w:val="both"/>
        <w:rPr>
          <w:rFonts w:ascii="Times New Roman" w:hAnsi="Times New Roman"/>
          <w:szCs w:val="24"/>
        </w:rPr>
      </w:pPr>
      <w:r>
        <w:rPr>
          <w:rFonts w:ascii="Times New Roman" w:hAnsi="Times New Roman"/>
          <w:szCs w:val="24"/>
        </w:rPr>
        <w:t>1 Nr. Storeroom</w:t>
      </w:r>
    </w:p>
    <w:p w14:paraId="75A4B1E7">
      <w:pPr>
        <w:pStyle w:val="8"/>
        <w:spacing w:before="193" w:line="240" w:lineRule="auto"/>
        <w:ind w:right="167" w:hanging="6"/>
        <w:rPr>
          <w:rFonts w:ascii="Times New Roman" w:hAnsi="Times New Roman" w:cs="Times New Roman"/>
          <w:color w:val="auto"/>
          <w:sz w:val="24"/>
          <w:szCs w:val="24"/>
        </w:rPr>
      </w:pPr>
      <w:r>
        <w:rPr>
          <w:rFonts w:ascii="Times New Roman" w:hAnsi="Times New Roman" w:cs="Times New Roman"/>
          <w:color w:val="auto"/>
          <w:sz w:val="24"/>
          <w:szCs w:val="24"/>
        </w:rPr>
        <w:t>Separate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urinals will be provided within the "gents"</w:t>
      </w:r>
      <w:r>
        <w:rPr>
          <w:rFonts w:ascii="Times New Roman" w:hAnsi="Times New Roman" w:cs="Times New Roman"/>
          <w:color w:val="auto"/>
          <w:sz w:val="24"/>
          <w:szCs w:val="24"/>
          <w:lang w:val="en-US"/>
        </w:rPr>
        <w:t xml:space="preserve"> section</w:t>
      </w:r>
      <w:r>
        <w:rPr>
          <w:rFonts w:ascii="Times New Roman" w:hAnsi="Times New Roman" w:cs="Times New Roman"/>
          <w:color w:val="auto"/>
          <w:sz w:val="24"/>
          <w:szCs w:val="24"/>
        </w:rPr>
        <w:t xml:space="preserve"> to increase the number of people that can use the facility especially during the peak hours.</w:t>
      </w:r>
    </w:p>
    <w:p w14:paraId="4A49F3E3">
      <w:pPr>
        <w:pStyle w:val="8"/>
        <w:spacing w:before="193" w:line="240" w:lineRule="auto"/>
        <w:ind w:right="168" w:firstLine="2"/>
        <w:rPr>
          <w:rFonts w:ascii="Times New Roman" w:hAnsi="Times New Roman" w:cs="Times New Roman"/>
          <w:color w:val="auto"/>
          <w:sz w:val="24"/>
          <w:szCs w:val="24"/>
        </w:rPr>
      </w:pPr>
      <w:r>
        <w:rPr>
          <w:rFonts w:ascii="Times New Roman" w:hAnsi="Times New Roman" w:cs="Times New Roman"/>
          <w:color w:val="auto"/>
          <w:sz w:val="24"/>
          <w:szCs w:val="24"/>
        </w:rPr>
        <w:t>A septic tank with a holding capacity of</w:t>
      </w:r>
      <w:r>
        <w:rPr>
          <w:rFonts w:ascii="Times New Roman" w:hAnsi="Times New Roman" w:cs="Times New Roman"/>
          <w:color w:val="auto"/>
          <w:spacing w:val="-6"/>
          <w:sz w:val="24"/>
          <w:szCs w:val="24"/>
        </w:rPr>
        <w:t xml:space="preserve"> </w:t>
      </w:r>
      <w:r>
        <w:rPr>
          <w:rFonts w:ascii="Times New Roman" w:hAnsi="Times New Roman" w:cs="Times New Roman"/>
          <w:color w:val="auto"/>
          <w:sz w:val="24"/>
          <w:szCs w:val="24"/>
        </w:rPr>
        <w:t xml:space="preserve">15.9 m3 will be connected to the facility for holding and partial treatment of sewage. This size of septic tank will require desludging after an interval of 3 </w:t>
      </w:r>
      <w:r>
        <w:rPr>
          <w:rFonts w:ascii="Times New Roman" w:hAnsi="Times New Roman" w:cs="Times New Roman"/>
          <w:color w:val="auto"/>
          <w:spacing w:val="-2"/>
          <w:sz w:val="24"/>
          <w:szCs w:val="24"/>
        </w:rPr>
        <w:t>months.</w:t>
      </w:r>
    </w:p>
    <w:p w14:paraId="121E26CE">
      <w:pPr>
        <w:pStyle w:val="8"/>
        <w:spacing w:before="195" w:line="240" w:lineRule="auto"/>
        <w:ind w:right="174" w:hanging="3"/>
        <w:rPr>
          <w:rFonts w:ascii="Times New Roman" w:hAnsi="Times New Roman" w:cs="Times New Roman"/>
          <w:color w:val="auto"/>
          <w:sz w:val="24"/>
          <w:szCs w:val="24"/>
        </w:rPr>
      </w:pPr>
      <w:r>
        <w:rPr>
          <w:rFonts w:ascii="Times New Roman" w:hAnsi="Times New Roman" w:cs="Times New Roman"/>
          <w:color w:val="auto"/>
          <w:sz w:val="24"/>
          <w:szCs w:val="24"/>
        </w:rPr>
        <w:t>Every</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facility</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will</w:t>
      </w:r>
      <w:r>
        <w:rPr>
          <w:rFonts w:ascii="Times New Roman" w:hAnsi="Times New Roman" w:cs="Times New Roman"/>
          <w:color w:val="auto"/>
          <w:spacing w:val="32"/>
          <w:sz w:val="24"/>
          <w:szCs w:val="24"/>
        </w:rPr>
        <w:t xml:space="preserve"> </w:t>
      </w:r>
      <w:r>
        <w:rPr>
          <w:rFonts w:ascii="Times New Roman" w:hAnsi="Times New Roman" w:cs="Times New Roman"/>
          <w:color w:val="auto"/>
          <w:sz w:val="24"/>
          <w:szCs w:val="24"/>
        </w:rPr>
        <w:t>comprise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of</w:t>
      </w:r>
      <w:r>
        <w:rPr>
          <w:rFonts w:ascii="Times New Roman" w:hAnsi="Times New Roman" w:cs="Times New Roman"/>
          <w:color w:val="auto"/>
          <w:spacing w:val="33"/>
          <w:sz w:val="24"/>
          <w:szCs w:val="24"/>
        </w:rPr>
        <w:t xml:space="preserve"> </w:t>
      </w:r>
      <w:r>
        <w:rPr>
          <w:rFonts w:ascii="Times New Roman" w:hAnsi="Times New Roman" w:cs="Times New Roman"/>
          <w:color w:val="auto"/>
          <w:sz w:val="24"/>
          <w:szCs w:val="24"/>
        </w:rPr>
        <w:t>separate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washroom</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sections</w:t>
      </w:r>
      <w:r>
        <w:rPr>
          <w:rFonts w:ascii="Times New Roman" w:hAnsi="Times New Roman" w:cs="Times New Roman"/>
          <w:color w:val="auto"/>
          <w:spacing w:val="34"/>
          <w:sz w:val="24"/>
          <w:szCs w:val="24"/>
        </w:rPr>
        <w:t xml:space="preserve"> </w:t>
      </w:r>
      <w:r>
        <w:rPr>
          <w:rFonts w:ascii="Times New Roman" w:hAnsi="Times New Roman" w:cs="Times New Roman"/>
          <w:color w:val="auto"/>
          <w:sz w:val="24"/>
          <w:szCs w:val="24"/>
        </w:rPr>
        <w:t>for</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ladies</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and</w:t>
      </w:r>
      <w:r>
        <w:rPr>
          <w:rFonts w:ascii="Times New Roman" w:hAnsi="Times New Roman" w:cs="Times New Roman"/>
          <w:color w:val="auto"/>
          <w:spacing w:val="34"/>
          <w:sz w:val="24"/>
          <w:szCs w:val="24"/>
        </w:rPr>
        <w:t xml:space="preserve"> </w:t>
      </w:r>
      <w:r>
        <w:rPr>
          <w:rFonts w:ascii="Times New Roman" w:hAnsi="Times New Roman" w:cs="Times New Roman"/>
          <w:color w:val="auto"/>
          <w:sz w:val="24"/>
          <w:szCs w:val="24"/>
        </w:rPr>
        <w:t>gentlemen</w:t>
      </w:r>
      <w:r>
        <w:rPr>
          <w:rFonts w:ascii="Times New Roman" w:hAnsi="Times New Roman" w:cs="Times New Roman"/>
          <w:color w:val="auto"/>
          <w:spacing w:val="39"/>
          <w:sz w:val="24"/>
          <w:szCs w:val="24"/>
        </w:rPr>
        <w:t xml:space="preserve"> </w:t>
      </w:r>
      <w:r>
        <w:rPr>
          <w:rFonts w:ascii="Times New Roman" w:hAnsi="Times New Roman" w:cs="Times New Roman"/>
          <w:color w:val="auto"/>
          <w:sz w:val="24"/>
          <w:szCs w:val="24"/>
        </w:rPr>
        <w:t>(gents) with equal number of toilets. Each section (for ladies and gents) will be provided with one toilet fitted with special amenities for access and use by</w:t>
      </w:r>
      <w:r>
        <w:rPr>
          <w:rFonts w:ascii="Times New Roman" w:hAnsi="Times New Roman" w:cs="Times New Roman"/>
          <w:color w:val="auto"/>
          <w:sz w:val="24"/>
          <w:szCs w:val="24"/>
          <w:lang w:val="en-US"/>
        </w:rPr>
        <w:t xml:space="preserve"> Persons with</w:t>
      </w:r>
      <w:r>
        <w:rPr>
          <w:rFonts w:ascii="Times New Roman" w:hAnsi="Times New Roman" w:cs="Times New Roman"/>
          <w:color w:val="auto"/>
          <w:sz w:val="24"/>
          <w:szCs w:val="24"/>
        </w:rPr>
        <w:t xml:space="preserve"> disab</w:t>
      </w:r>
      <w:r>
        <w:rPr>
          <w:rFonts w:ascii="Times New Roman" w:hAnsi="Times New Roman" w:cs="Times New Roman"/>
          <w:color w:val="auto"/>
          <w:sz w:val="24"/>
          <w:szCs w:val="24"/>
          <w:lang w:val="en-US"/>
        </w:rPr>
        <w:t>ilities (PWDs)</w:t>
      </w:r>
      <w:r>
        <w:rPr>
          <w:rFonts w:ascii="Times New Roman" w:hAnsi="Times New Roman" w:cs="Times New Roman"/>
          <w:color w:val="auto"/>
          <w:sz w:val="24"/>
          <w:szCs w:val="24"/>
        </w:rPr>
        <w:t>. Two shower rooms equipped with a dressing area, hand-wash basins, mirrors as well as a 900 mm high worktop will also be provided in</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 xml:space="preserve">each section. </w:t>
      </w:r>
    </w:p>
    <w:p w14:paraId="29C3706C">
      <w:pPr>
        <w:pStyle w:val="8"/>
        <w:spacing w:before="202" w:line="240" w:lineRule="auto"/>
        <w:ind w:right="169" w:firstLine="7"/>
        <w:rPr>
          <w:rFonts w:ascii="Times New Roman" w:hAnsi="Times New Roman" w:cs="Times New Roman"/>
          <w:color w:val="auto"/>
          <w:sz w:val="24"/>
          <w:szCs w:val="24"/>
        </w:rPr>
      </w:pPr>
      <w:r>
        <w:rPr>
          <w:rFonts w:ascii="Times New Roman" w:hAnsi="Times New Roman" w:cs="Times New Roman"/>
          <w:color w:val="auto"/>
          <w:sz w:val="24"/>
          <w:szCs w:val="24"/>
        </w:rPr>
        <w:t>A 2,000-litre water tank shall be installed to provide 3 days of storage at the required volume.</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 xml:space="preserve">The tanks will be mounted on top of the roof slab for supply of water to the ablution block especially in emergency cases. Electricity will be also provided for use at night and for security lighting. </w:t>
      </w:r>
    </w:p>
    <w:p w14:paraId="49BCB2EE">
      <w:pPr>
        <w:tabs>
          <w:tab w:val="left" w:pos="425"/>
        </w:tabs>
        <w:spacing w:line="240" w:lineRule="auto"/>
        <w:rPr>
          <w:rFonts w:ascii="Times New Roman" w:hAnsi="Times New Roman"/>
          <w:b/>
          <w:bCs/>
          <w:u w:val="single"/>
        </w:rPr>
      </w:pPr>
      <w:r>
        <w:rPr>
          <w:rFonts w:ascii="Times New Roman" w:hAnsi="Times New Roman"/>
          <w:b/>
          <w:bCs/>
          <w:szCs w:val="24"/>
          <w:u w:val="single"/>
        </w:rPr>
        <w:t>Project Justification</w:t>
      </w:r>
    </w:p>
    <w:p w14:paraId="67292A2D">
      <w:pPr>
        <w:pStyle w:val="17"/>
        <w:rPr>
          <w:rStyle w:val="16"/>
          <w:color w:val="auto"/>
          <w:u w:val="none"/>
        </w:rPr>
      </w:pPr>
      <w:r>
        <w:rPr>
          <w:rStyle w:val="16"/>
          <w:color w:val="auto"/>
          <w:u w:val="none"/>
        </w:rPr>
        <w:t>The development of a modern ablution block at KIMAWASCO Head Office is justified based on the following grounds:</w:t>
      </w:r>
    </w:p>
    <w:p w14:paraId="3143F8C2">
      <w:pPr>
        <w:pStyle w:val="17"/>
        <w:rPr>
          <w:rStyle w:val="16"/>
          <w:color w:val="auto"/>
          <w:u w:val="none"/>
        </w:rPr>
      </w:pPr>
      <w:r>
        <w:rPr>
          <w:rStyle w:val="16"/>
          <w:color w:val="auto"/>
          <w:u w:val="none"/>
        </w:rPr>
        <w:t>a) Improvement of Public Health and Hygiene</w:t>
      </w:r>
    </w:p>
    <w:p w14:paraId="17AB0059">
      <w:pPr>
        <w:pStyle w:val="17"/>
        <w:rPr>
          <w:rStyle w:val="16"/>
          <w:color w:val="auto"/>
          <w:u w:val="none"/>
        </w:rPr>
      </w:pPr>
      <w:r>
        <w:rPr>
          <w:rStyle w:val="16"/>
          <w:color w:val="auto"/>
          <w:u w:val="none"/>
        </w:rPr>
        <w:t>Adequate sanitation facilities are essential for preventing the spread of diseases and maintaining high hygiene standards. A modern ablution block will promote a clean and healthy environment for staff and visitors accessing services at the office.</w:t>
      </w:r>
    </w:p>
    <w:p w14:paraId="16390FF4">
      <w:pPr>
        <w:pStyle w:val="17"/>
        <w:rPr>
          <w:rStyle w:val="16"/>
          <w:color w:val="auto"/>
          <w:u w:val="none"/>
        </w:rPr>
      </w:pPr>
      <w:r>
        <w:rPr>
          <w:rStyle w:val="16"/>
          <w:color w:val="auto"/>
          <w:u w:val="none"/>
        </w:rPr>
        <w:t>b) Compliance With Legal and Regulatory Requirements</w:t>
      </w:r>
    </w:p>
    <w:p w14:paraId="2625D145">
      <w:pPr>
        <w:pStyle w:val="17"/>
        <w:jc w:val="both"/>
        <w:rPr>
          <w:rStyle w:val="16"/>
          <w:color w:val="auto"/>
          <w:u w:val="none"/>
        </w:rPr>
      </w:pPr>
      <w:r>
        <w:rPr>
          <w:rStyle w:val="16"/>
          <w:color w:val="auto"/>
          <w:u w:val="none"/>
        </w:rPr>
        <w:t>Kenyan laws—including the Public Health Act, OSHA 2007, and Building Code regulations—require institutions to provide sufficient sanitation facilities for users. Constructing the ablution block will ensure compliance with national health and safety standards and NEMA environmental requirements.</w:t>
      </w:r>
    </w:p>
    <w:p w14:paraId="13D9FE70">
      <w:pPr>
        <w:pStyle w:val="17"/>
        <w:rPr>
          <w:rStyle w:val="16"/>
          <w:color w:val="auto"/>
          <w:u w:val="none"/>
        </w:rPr>
      </w:pPr>
      <w:r>
        <w:rPr>
          <w:rStyle w:val="16"/>
          <w:color w:val="auto"/>
          <w:u w:val="none"/>
        </w:rPr>
        <w:t>c) Enhanced Customer Service Experience</w:t>
      </w:r>
    </w:p>
    <w:p w14:paraId="2D02D545">
      <w:pPr>
        <w:pStyle w:val="17"/>
        <w:jc w:val="both"/>
        <w:rPr>
          <w:rStyle w:val="16"/>
          <w:color w:val="auto"/>
          <w:u w:val="none"/>
        </w:rPr>
      </w:pPr>
      <w:r>
        <w:rPr>
          <w:rStyle w:val="16"/>
          <w:color w:val="auto"/>
          <w:u w:val="none"/>
        </w:rPr>
        <w:t>The head office is a customer-facing environment where clients regularly visit for billing, inquiries, and technical support. Providing clean, accessible washrooms will significantly improve client comfort and service delivery.</w:t>
      </w:r>
    </w:p>
    <w:p w14:paraId="60BC95F3">
      <w:pPr>
        <w:pStyle w:val="17"/>
        <w:rPr>
          <w:rStyle w:val="16"/>
          <w:color w:val="auto"/>
          <w:u w:val="none"/>
        </w:rPr>
      </w:pPr>
      <w:r>
        <w:rPr>
          <w:rStyle w:val="16"/>
          <w:color w:val="auto"/>
          <w:u w:val="none"/>
        </w:rPr>
        <w:t>d) Improved Staff Welfare and Productivity</w:t>
      </w:r>
    </w:p>
    <w:p w14:paraId="3DD17BF8">
      <w:pPr>
        <w:pStyle w:val="17"/>
        <w:jc w:val="both"/>
        <w:rPr>
          <w:rStyle w:val="16"/>
          <w:color w:val="auto"/>
          <w:u w:val="none"/>
        </w:rPr>
      </w:pPr>
      <w:r>
        <w:rPr>
          <w:rStyle w:val="16"/>
          <w:color w:val="auto"/>
          <w:u w:val="none"/>
        </w:rPr>
        <w:t>Availability of reliable sanitation facilities contributes to employee dignity, morale, and overall workplace efficiency. Staff will be able to work in a healthy and conducive environment, reducing interruptions due to inadequate facilities.</w:t>
      </w:r>
    </w:p>
    <w:p w14:paraId="288DBA21">
      <w:pPr>
        <w:pStyle w:val="17"/>
        <w:spacing w:before="0" w:beforeAutospacing="0" w:after="0" w:afterAutospacing="0"/>
        <w:rPr>
          <w:rStyle w:val="16"/>
          <w:color w:val="auto"/>
          <w:u w:val="none"/>
        </w:rPr>
      </w:pPr>
      <w:r>
        <w:rPr>
          <w:rStyle w:val="16"/>
          <w:color w:val="auto"/>
          <w:u w:val="none"/>
        </w:rPr>
        <w:t>e) Meeting Increasing User Demand</w:t>
      </w:r>
    </w:p>
    <w:p w14:paraId="602A4014">
      <w:pPr>
        <w:pStyle w:val="17"/>
        <w:spacing w:before="0" w:beforeAutospacing="0" w:after="0" w:afterAutospacing="0"/>
        <w:jc w:val="both"/>
        <w:rPr>
          <w:rStyle w:val="16"/>
          <w:color w:val="auto"/>
          <w:u w:val="none"/>
        </w:rPr>
      </w:pPr>
      <w:r>
        <w:rPr>
          <w:rStyle w:val="16"/>
          <w:color w:val="auto"/>
          <w:u w:val="none"/>
        </w:rPr>
        <w:t>Growth in KIMAWASCO’s customer base and workforce has increased pressure on existing facilities. The new ablution block will address current demand and provide capacity for future expansion.</w:t>
      </w:r>
    </w:p>
    <w:p w14:paraId="4FE93307">
      <w:pPr>
        <w:pStyle w:val="17"/>
        <w:spacing w:before="0" w:beforeAutospacing="0" w:after="0" w:afterAutospacing="0"/>
        <w:jc w:val="both"/>
        <w:rPr>
          <w:rStyle w:val="16"/>
          <w:color w:val="auto"/>
          <w:u w:val="none"/>
        </w:rPr>
      </w:pPr>
    </w:p>
    <w:p w14:paraId="405785BC">
      <w:pPr>
        <w:pStyle w:val="17"/>
        <w:spacing w:before="0" w:beforeAutospacing="0" w:after="0" w:afterAutospacing="0"/>
        <w:rPr>
          <w:rStyle w:val="16"/>
          <w:color w:val="auto"/>
          <w:u w:val="none"/>
        </w:rPr>
      </w:pPr>
      <w:r>
        <w:rPr>
          <w:rStyle w:val="16"/>
          <w:color w:val="auto"/>
          <w:u w:val="none"/>
        </w:rPr>
        <w:t>f) Institutional Image and Professionalism</w:t>
      </w:r>
    </w:p>
    <w:p w14:paraId="78B2503D">
      <w:pPr>
        <w:pStyle w:val="17"/>
        <w:spacing w:before="0" w:beforeAutospacing="0" w:after="0" w:afterAutospacing="0"/>
        <w:jc w:val="both"/>
        <w:rPr>
          <w:rStyle w:val="16"/>
          <w:color w:val="auto"/>
          <w:u w:val="none"/>
        </w:rPr>
      </w:pPr>
      <w:r>
        <w:rPr>
          <w:rStyle w:val="16"/>
          <w:color w:val="auto"/>
          <w:u w:val="none"/>
        </w:rPr>
        <w:t>As a water and sanitation utility, KIMAWASCO must lead by example in maintaining high sanitation standards. A modern facility will reinforce the organization’s credibility and commitment to quality service delivery.</w:t>
      </w:r>
    </w:p>
    <w:p w14:paraId="6BBD3748">
      <w:pPr>
        <w:pStyle w:val="17"/>
        <w:rPr>
          <w:rStyle w:val="16"/>
          <w:color w:val="auto"/>
          <w:u w:val="none"/>
        </w:rPr>
      </w:pPr>
      <w:r>
        <w:rPr>
          <w:rStyle w:val="16"/>
          <w:color w:val="auto"/>
          <w:u w:val="none"/>
        </w:rPr>
        <w:t>g) Environmental Sustainability</w:t>
      </w:r>
    </w:p>
    <w:p w14:paraId="54FEC090">
      <w:pPr>
        <w:pStyle w:val="17"/>
        <w:jc w:val="both"/>
      </w:pPr>
      <w:r>
        <w:rPr>
          <w:rStyle w:val="16"/>
          <w:color w:val="auto"/>
          <w:u w:val="none"/>
        </w:rPr>
        <w:t>The project will incorporate hygienic waste management, water-saving fixtures, and environmentally friendly design features, supporting sust</w:t>
      </w:r>
      <w:r>
        <w:t>ainable sanitation solutions.</w:t>
      </w:r>
    </w:p>
    <w:p w14:paraId="4C2E3472">
      <w:pPr>
        <w:spacing w:line="240" w:lineRule="auto"/>
        <w:jc w:val="both"/>
        <w:rPr>
          <w:rFonts w:ascii="Times New Roman" w:hAnsi="Times New Roman"/>
        </w:rPr>
      </w:pPr>
      <w:r>
        <w:rPr>
          <w:rFonts w:ascii="Times New Roman" w:hAnsi="Times New Roman"/>
        </w:rPr>
        <w:t>Environmental and Social Baselines</w:t>
      </w:r>
    </w:p>
    <w:p w14:paraId="239ED4FA">
      <w:pPr>
        <w:spacing w:line="240" w:lineRule="auto"/>
        <w:jc w:val="both"/>
        <w:rPr>
          <w:rFonts w:ascii="Times New Roman" w:hAnsi="Times New Roman"/>
        </w:rPr>
      </w:pPr>
    </w:p>
    <w:p w14:paraId="27726E6F">
      <w:pPr>
        <w:spacing w:line="240" w:lineRule="auto"/>
        <w:jc w:val="both"/>
        <w:rPr>
          <w:rFonts w:ascii="Times New Roman" w:hAnsi="Times New Roman"/>
        </w:rPr>
      </w:pPr>
      <w:r>
        <w:rPr>
          <w:rFonts w:ascii="Times New Roman" w:hAnsi="Times New Roman"/>
        </w:rPr>
        <w:t>The proposed project site is located within an urban, institutional setting with low environmental sensitivity, characterized by minimal vegetation (a few mature trees that will not be removed) and no presence of wildlife. The site currently hosts KIMAWASCO administrative offices and is officially designated for water and sanitation services, with no competing land uses or income-generating activities. Kilifi County’s broader economy is supported by tourism, agriculture, fishing, livestock, and industry, although these are not directly linked to the project site. Existing infrastructure, including roads, electricity, and water supply, is already in place, but sanitation facilities are inadequate, necessitating the construction of an ablution block to improve hygiene and welfare. The project will not result in land acquisition, land-use change, displacement, or resettlement.</w:t>
      </w:r>
    </w:p>
    <w:p w14:paraId="4D9CBD25">
      <w:pPr>
        <w:spacing w:line="240" w:lineRule="auto"/>
        <w:jc w:val="both"/>
        <w:rPr>
          <w:rFonts w:ascii="Times New Roman" w:hAnsi="Times New Roman"/>
        </w:rPr>
      </w:pPr>
      <w:r>
        <w:rPr>
          <w:rFonts w:ascii="Times New Roman" w:hAnsi="Times New Roman"/>
        </w:rPr>
        <w:t xml:space="preserve">According to the 2019 Kenya Population and Housing Census, the area covered by Kilifi-Mariakani Water and Sewerage Company (KIMAWASCO), within Kilifi County, has a total population of approximately 1,453,787 people, comprising 704,089 males and 749,673 females.  Recent estimates indicate that the population has continued to grow due to natural population increase, rural–urban migration, and rapid development in residential, tourism, and commercial sectors across towns such as Malindi, Kilifi, and Mtwapa. Population projections estimate the county’s population at approximately 1,577,335 in 2023, with further projections indicating it could reach around 1,643,420 by 2025.  </w:t>
      </w:r>
    </w:p>
    <w:p w14:paraId="111119F9">
      <w:pPr>
        <w:spacing w:line="240" w:lineRule="auto"/>
        <w:jc w:val="both"/>
        <w:rPr>
          <w:rFonts w:ascii="Times New Roman" w:hAnsi="Times New Roman"/>
          <w:szCs w:val="24"/>
        </w:rPr>
      </w:pPr>
      <w:r>
        <w:rPr>
          <w:rFonts w:ascii="Times New Roman" w:hAnsi="Times New Roman"/>
        </w:rPr>
        <w:t>The customer base within the service area of KIMAWASCO consists of domestic households, institutional consumers (such as schools and health facilities), commercial establishments, and small industrial users. Rapid population growth and urban expansion have increased demand for reliable water supply and sanitation services within the</w:t>
      </w:r>
      <w:r>
        <w:rPr>
          <w:rFonts w:ascii="Times New Roman" w:hAnsi="Times New Roman"/>
          <w:lang w:val="en-US"/>
        </w:rPr>
        <w:t xml:space="preserve"> County.</w:t>
      </w:r>
    </w:p>
    <w:p w14:paraId="2683A2A4">
      <w:pPr>
        <w:spacing w:line="240" w:lineRule="auto"/>
        <w:jc w:val="both"/>
        <w:rPr>
          <w:rFonts w:ascii="Times New Roman" w:hAnsi="Times New Roman"/>
          <w:b/>
          <w:bCs/>
          <w:szCs w:val="24"/>
        </w:rPr>
      </w:pPr>
      <w:r>
        <w:rPr>
          <w:rFonts w:ascii="Times New Roman" w:hAnsi="Times New Roman"/>
          <w:b/>
          <w:bCs/>
          <w:szCs w:val="24"/>
        </w:rPr>
        <w:t xml:space="preserve">The ESIA Study </w:t>
      </w:r>
    </w:p>
    <w:p w14:paraId="23032D0B">
      <w:pPr>
        <w:spacing w:line="240" w:lineRule="auto"/>
        <w:jc w:val="both"/>
        <w:rPr>
          <w:rFonts w:ascii="Times New Roman" w:hAnsi="Times New Roman"/>
          <w:szCs w:val="24"/>
        </w:rPr>
      </w:pPr>
      <w:r>
        <w:rPr>
          <w:rFonts w:ascii="Times New Roman" w:hAnsi="Times New Roman"/>
          <w:szCs w:val="24"/>
        </w:rPr>
        <w:t>An Environment and Social Impact Assessment has been carried out based on the Government of Kenya regulations and the World Bank Safeguards Operational policies. It entailed  an assessment of positive and negative impacts of the sub-project and preparation of an Environmental and Social Management Plan (ESMP) for the subproject.</w:t>
      </w:r>
    </w:p>
    <w:p w14:paraId="4BE3D311">
      <w:pPr>
        <w:spacing w:line="240" w:lineRule="auto"/>
        <w:jc w:val="both"/>
        <w:rPr>
          <w:rFonts w:ascii="Times New Roman" w:hAnsi="Times New Roman"/>
          <w:szCs w:val="24"/>
        </w:rPr>
      </w:pPr>
      <w:r>
        <w:rPr>
          <w:rFonts w:ascii="Times New Roman" w:hAnsi="Times New Roman"/>
          <w:szCs w:val="24"/>
        </w:rPr>
        <w:t>The study approach and methodology adopted included screening, to determine the extent of the project</w:t>
      </w:r>
      <w:r>
        <w:rPr>
          <w:rFonts w:ascii="Times New Roman" w:hAnsi="Times New Roman"/>
          <w:szCs w:val="24"/>
          <w:lang w:val="en-US"/>
        </w:rPr>
        <w:t xml:space="preserve"> impacts</w:t>
      </w:r>
      <w:r>
        <w:rPr>
          <w:rFonts w:ascii="Times New Roman" w:hAnsi="Times New Roman"/>
          <w:szCs w:val="24"/>
        </w:rPr>
        <w:t>, desktop data search and analysis for the baseline biophysical and social environmental parameters of the project area. Stakeholder engagement was conducted through public consultations. Consultations with relevant agencies, such as the land department, to facilitate land allocation for the project.</w:t>
      </w:r>
    </w:p>
    <w:p w14:paraId="7E25055E">
      <w:pPr>
        <w:spacing w:line="240" w:lineRule="auto"/>
        <w:jc w:val="both"/>
        <w:rPr>
          <w:rFonts w:ascii="Times New Roman" w:hAnsi="Times New Roman"/>
          <w:szCs w:val="24"/>
        </w:rPr>
      </w:pPr>
      <w:r>
        <w:rPr>
          <w:rFonts w:ascii="Times New Roman" w:hAnsi="Times New Roman"/>
          <w:szCs w:val="24"/>
        </w:rPr>
        <w:t>Based on these findings and expert judgement, the expert has compiled the projected social and environmental impacts (positive and negative) likely to emanate from proposed</w:t>
      </w:r>
      <w:r>
        <w:rPr>
          <w:rFonts w:ascii="Times New Roman" w:hAnsi="Times New Roman"/>
          <w:szCs w:val="24"/>
          <w:lang w:val="en-US"/>
        </w:rPr>
        <w:t xml:space="preserve"> sub -</w:t>
      </w:r>
      <w:r>
        <w:rPr>
          <w:rFonts w:ascii="Times New Roman" w:hAnsi="Times New Roman"/>
          <w:szCs w:val="24"/>
        </w:rPr>
        <w:t xml:space="preserve"> project activities and the Environmental and Social Management Plan (ESMP) which details how adverse impacts will be</w:t>
      </w:r>
      <w:r>
        <w:rPr>
          <w:rFonts w:ascii="Times New Roman" w:hAnsi="Times New Roman"/>
          <w:szCs w:val="24"/>
          <w:lang w:val="en-US"/>
        </w:rPr>
        <w:t xml:space="preserve"> mitigated.</w:t>
      </w:r>
      <w:r>
        <w:rPr>
          <w:rFonts w:ascii="Times New Roman" w:hAnsi="Times New Roman"/>
          <w:szCs w:val="24"/>
        </w:rPr>
        <w:t xml:space="preserve"> </w:t>
      </w:r>
    </w:p>
    <w:p w14:paraId="6D4BF150">
      <w:pPr>
        <w:numPr>
          <w:ilvl w:val="0"/>
          <w:numId w:val="3"/>
        </w:numPr>
        <w:spacing w:line="240" w:lineRule="auto"/>
        <w:rPr>
          <w:rFonts w:ascii="Times New Roman" w:hAnsi="Times New Roman"/>
          <w:b/>
          <w:szCs w:val="24"/>
          <w:u w:val="single"/>
        </w:rPr>
      </w:pPr>
      <w:r>
        <w:rPr>
          <w:rFonts w:ascii="Times New Roman" w:hAnsi="Times New Roman"/>
          <w:b/>
          <w:szCs w:val="24"/>
          <w:u w:val="single"/>
        </w:rPr>
        <w:t>Legislative Framework for this Study</w:t>
      </w:r>
    </w:p>
    <w:p w14:paraId="1575882B">
      <w:pPr>
        <w:spacing w:line="240" w:lineRule="auto"/>
        <w:jc w:val="both"/>
        <w:rPr>
          <w:rFonts w:ascii="Times New Roman" w:hAnsi="Times New Roman"/>
          <w:szCs w:val="24"/>
        </w:rPr>
      </w:pPr>
      <w:r>
        <w:rPr>
          <w:rFonts w:ascii="Times New Roman" w:hAnsi="Times New Roman"/>
          <w:szCs w:val="24"/>
        </w:rPr>
        <w:t>The principal National legislation governing issues of environmental concern in Kenya is the Environmental Management &amp; Coordination Act of 1999 and the Environmental Management and Coordination (Amendment) Act, 2015. EMCA calls for Environmental Impact Assessment (EIA) (under Section 58) to guide the implementation of environmentally sound decisions and empowers stakeholders to participate in the sustainable management of natural resources. It is under this provision that the current study has been undertaken.</w:t>
      </w:r>
    </w:p>
    <w:p w14:paraId="58F5A812">
      <w:pPr>
        <w:spacing w:line="240" w:lineRule="auto"/>
        <w:jc w:val="both"/>
        <w:rPr>
          <w:rFonts w:ascii="Times New Roman" w:hAnsi="Times New Roman"/>
          <w:szCs w:val="24"/>
        </w:rPr>
      </w:pPr>
      <w:r>
        <w:rPr>
          <w:rFonts w:ascii="Times New Roman" w:hAnsi="Times New Roman"/>
          <w:szCs w:val="24"/>
        </w:rPr>
        <w:t>Other legislations adhered to during this study are the regulations borne of EMCA Cap 387 namely the Environmental Impact Assessment and Audit Regulations 2025; The Environmental Management Coordination Act (Waste Management) Regulations 2025; the Environmental Management Coordination (Water Quality) Regulations 2025; and the Environmental Management and Coordination (Noise and Excessive vibration pollution Control) Regulations 2009 (Legal Notice 61), Air quality Regulations 2009 among others.</w:t>
      </w:r>
    </w:p>
    <w:p w14:paraId="633D9B32">
      <w:pPr>
        <w:spacing w:line="240" w:lineRule="auto"/>
        <w:jc w:val="both"/>
        <w:rPr>
          <w:rFonts w:ascii="Times New Roman" w:hAnsi="Times New Roman"/>
          <w:szCs w:val="24"/>
        </w:rPr>
      </w:pPr>
      <w:r>
        <w:rPr>
          <w:rFonts w:ascii="Times New Roman" w:hAnsi="Times New Roman"/>
          <w:szCs w:val="24"/>
        </w:rPr>
        <w:t>Sectoral legislation applicable to this Project includes the Water (Amendment) Act, 2025, the Constitution, The Public Health Act (CAP. 242), among others.</w:t>
      </w:r>
    </w:p>
    <w:p w14:paraId="4D77B324">
      <w:pPr>
        <w:spacing w:line="240" w:lineRule="auto"/>
        <w:jc w:val="both"/>
        <w:rPr>
          <w:rFonts w:ascii="Times New Roman" w:hAnsi="Times New Roman"/>
          <w:szCs w:val="24"/>
        </w:rPr>
      </w:pPr>
      <w:r>
        <w:rPr>
          <w:rFonts w:ascii="Times New Roman" w:hAnsi="Times New Roman"/>
          <w:szCs w:val="24"/>
        </w:rPr>
        <w:t xml:space="preserve">In addition to the local legislation, the Expert identified the various World Bank operational policies relevant to the project. Some of these policies include Operational Policy (OP) 4.01, </w:t>
      </w:r>
      <w:r>
        <w:rPr>
          <w:rFonts w:ascii="Times New Roman" w:hAnsi="Times New Roman"/>
          <w:szCs w:val="24"/>
          <w:highlight w:val="yellow"/>
        </w:rPr>
        <w:t>OP 4.12</w:t>
      </w:r>
      <w:r>
        <w:rPr>
          <w:rFonts w:ascii="Times New Roman" w:hAnsi="Times New Roman"/>
          <w:szCs w:val="24"/>
        </w:rPr>
        <w:t>, as well as the World Bank Policy on Access to Information, 2010.</w:t>
      </w:r>
    </w:p>
    <w:p w14:paraId="04204E17">
      <w:pPr>
        <w:spacing w:line="240" w:lineRule="auto"/>
        <w:jc w:val="both"/>
        <w:rPr>
          <w:rFonts w:ascii="Times New Roman" w:hAnsi="Times New Roman"/>
          <w:szCs w:val="24"/>
        </w:rPr>
      </w:pPr>
      <w:r>
        <w:rPr>
          <w:rFonts w:ascii="Times New Roman" w:hAnsi="Times New Roman"/>
          <w:szCs w:val="24"/>
        </w:rPr>
        <w:t>As per Operational Policy 4.01 the Bank requires environmental assessment (EA) of projects proposed for Bank financing to help ensure that they are environmentally sound and sustainable, and thus to improve decision making. EA should consider the natural environment, human health and safety</w:t>
      </w:r>
      <w:r>
        <w:rPr>
          <w:rFonts w:ascii="Times New Roman" w:hAnsi="Times New Roman"/>
          <w:szCs w:val="24"/>
          <w:lang w:val="en-US"/>
        </w:rPr>
        <w:t xml:space="preserve"> and all</w:t>
      </w:r>
      <w:r>
        <w:rPr>
          <w:rFonts w:ascii="Times New Roman" w:hAnsi="Times New Roman"/>
          <w:szCs w:val="24"/>
        </w:rPr>
        <w:t xml:space="preserve"> social aspects. </w:t>
      </w:r>
    </w:p>
    <w:p w14:paraId="66606BF2">
      <w:pPr>
        <w:numPr>
          <w:ilvl w:val="0"/>
          <w:numId w:val="3"/>
        </w:numPr>
        <w:spacing w:line="240" w:lineRule="auto"/>
        <w:rPr>
          <w:rFonts w:ascii="Times New Roman" w:hAnsi="Times New Roman"/>
          <w:szCs w:val="24"/>
        </w:rPr>
      </w:pPr>
      <w:r>
        <w:rPr>
          <w:rFonts w:ascii="Times New Roman" w:hAnsi="Times New Roman"/>
          <w:b/>
          <w:szCs w:val="24"/>
          <w:u w:val="single"/>
        </w:rPr>
        <w:t>Conclusions from Public Consultation</w:t>
      </w:r>
    </w:p>
    <w:p w14:paraId="1C1A0778">
      <w:pPr>
        <w:pStyle w:val="17"/>
        <w:jc w:val="both"/>
      </w:pPr>
      <w:r>
        <w:t xml:space="preserve">As part of the ESIA process, public consultations were conducted with Kilifi Mariakani Water and Sewerage Company Limited (KIMAWASCO) staff and the local community within the project area. The Expert undertook two forms of stakeholder engagement: Key Informant Interviews (KIIs) with the Client, local administrative leaders, and KIMAWASCO management staff, and a public participation meeting held in an open forum at the proposed project site at the KIMAWASCO Head Office in Kilifi on 5th December 2025 </w:t>
      </w:r>
      <w:r>
        <w:rPr>
          <w:b/>
          <w:bCs/>
          <w:i/>
          <w:iCs/>
        </w:rPr>
        <w:t>(see Appendix B).</w:t>
      </w:r>
    </w:p>
    <w:p w14:paraId="2D9D574B">
      <w:pPr>
        <w:pStyle w:val="17"/>
        <w:jc w:val="both"/>
      </w:pPr>
      <w:r>
        <w:t>The public participation meeting was attended by a total of 42 participants, comprising 24 males and 18 females. Of these, 15 were youth (8 male and 7 female), while 3 participants were identified as vulnerable persons, including elderly persons and persons with disabilities. In addition, six (6) Key Informant Interviews were conducted, involving two KIMAWASCO management staff, two local administrative leaders, and two project technical representatives.</w:t>
      </w:r>
    </w:p>
    <w:p w14:paraId="082AA3C7">
      <w:pPr>
        <w:pStyle w:val="17"/>
        <w:jc w:val="both"/>
      </w:pPr>
      <w:r>
        <w:t>During the consultations, stakeholders raised concerns regarding inadequate sanitation facilities within the area, potential odour and maintenance challenges, accessibility for vulnerable groups, employment opportunities for local youth, and health and safety risks during construction. In response, it was clarified that the proposed project is specifically intended to improve sanitation access and hygiene standards within the project area. The design incorporates proper ventilation, scheduled desludging, and a clear Operation and Maintenance (O&amp;M) framework under KIMAWASCO to ensure sustainability. The facility will include ramps and accessible cubicles to accommodate persons with disabilities. It was further noted that the contractor will be encouraged to prioritise local labour, particularly for non-skilled and semi-skilled positions. Environmental, Health and Safety (EHS) measures will also be implemented during construction, including appropriate signage, use of personal protective equipment (PPE), and controlled work zones.</w:t>
      </w:r>
    </w:p>
    <w:p w14:paraId="66D9C05D">
      <w:pPr>
        <w:pStyle w:val="17"/>
        <w:jc w:val="both"/>
      </w:pPr>
      <w:r>
        <w:t>Overall, it was evident from the consultations that the area requires the proposed sanitation facility development project. The community expressed strong support for the sub-project and acknowledged its anticipated benefits in improving public health, environmental sanitation, and dignity. Stakeholders further recommended the implementation of similar projects in other underserved areas within the county.</w:t>
      </w:r>
    </w:p>
    <w:p w14:paraId="4AB59D08">
      <w:pPr>
        <w:spacing w:line="240" w:lineRule="auto"/>
        <w:jc w:val="both"/>
        <w:rPr>
          <w:rFonts w:ascii="Times New Roman" w:hAnsi="Times New Roman"/>
          <w:szCs w:val="24"/>
        </w:rPr>
      </w:pPr>
    </w:p>
    <w:p w14:paraId="34560F4D">
      <w:pPr>
        <w:pStyle w:val="19"/>
        <w:numPr>
          <w:ilvl w:val="0"/>
          <w:numId w:val="3"/>
        </w:numPr>
        <w:spacing w:line="240" w:lineRule="auto"/>
        <w:rPr>
          <w:rFonts w:ascii="Times New Roman" w:hAnsi="Times New Roman"/>
          <w:u w:val="single"/>
          <w:lang w:val="en-GB"/>
        </w:rPr>
      </w:pPr>
      <w:r>
        <w:rPr>
          <w:rFonts w:ascii="Times New Roman" w:hAnsi="Times New Roman"/>
          <w:u w:val="single"/>
          <w:lang w:val="en-GB"/>
        </w:rPr>
        <w:t>Expected impacts</w:t>
      </w:r>
    </w:p>
    <w:p w14:paraId="6495DD2E">
      <w:pPr>
        <w:spacing w:line="240" w:lineRule="auto"/>
        <w:jc w:val="both"/>
        <w:rPr>
          <w:rFonts w:ascii="Times New Roman" w:hAnsi="Times New Roman"/>
          <w:szCs w:val="24"/>
        </w:rPr>
      </w:pPr>
      <w:r>
        <w:rPr>
          <w:rFonts w:ascii="Times New Roman" w:hAnsi="Times New Roman"/>
          <w:szCs w:val="24"/>
        </w:rPr>
        <w:t>The project has been rated Category B under the World Bank Operational Policy on Environmental Assessment (OP 4.01). This means that projected impacts will not affect an area broader than the site and facilities subjected to the physical works. These impacts are easily reversible through appropriate mitigation measures provided in this assessment.</w:t>
      </w:r>
    </w:p>
    <w:p w14:paraId="6453103D">
      <w:pPr>
        <w:spacing w:line="240" w:lineRule="auto"/>
        <w:jc w:val="both"/>
        <w:rPr>
          <w:rFonts w:ascii="Times New Roman" w:hAnsi="Times New Roman"/>
          <w:szCs w:val="24"/>
        </w:rPr>
      </w:pPr>
      <w:r>
        <w:rPr>
          <w:rFonts w:ascii="Times New Roman" w:hAnsi="Times New Roman"/>
          <w:szCs w:val="24"/>
        </w:rPr>
        <w:t xml:space="preserve">The expected impacts emanate from the Pre-Construction/Planning phase, the Construction Phase, the Operation phase and the De-Commissioning Phase of the project. </w:t>
      </w:r>
    </w:p>
    <w:p w14:paraId="61A2EEE4">
      <w:pPr>
        <w:spacing w:line="240" w:lineRule="auto"/>
        <w:jc w:val="both"/>
        <w:rPr>
          <w:rFonts w:ascii="Times New Roman" w:hAnsi="Times New Roman"/>
          <w:szCs w:val="24"/>
        </w:rPr>
      </w:pPr>
      <w:r>
        <w:rPr>
          <w:rFonts w:ascii="Times New Roman" w:hAnsi="Times New Roman"/>
          <w:szCs w:val="24"/>
        </w:rPr>
        <w:t xml:space="preserve">In general, successful implementation of the project will have high environmental and socio-economic benefits to KIMAWASCO staff and visitors, and the </w:t>
      </w:r>
      <w:r>
        <w:rPr>
          <w:rFonts w:ascii="Times New Roman" w:hAnsi="Times New Roman"/>
          <w:szCs w:val="24"/>
          <w:lang w:val="en-US"/>
        </w:rPr>
        <w:t>community</w:t>
      </w:r>
      <w:r>
        <w:rPr>
          <w:rFonts w:ascii="Times New Roman" w:hAnsi="Times New Roman"/>
          <w:szCs w:val="24"/>
        </w:rPr>
        <w:t xml:space="preserve"> in general, and will contribute to their health and well-being. Overall, negative expected impacts are related to the planning and construction activities of the project. These impacts are localized and not considered significant and long-lasting and can be mitigated through appropriate mitigation measures. The severity and duration of these impacts can be minimized by ensuring that the construction and operation</w:t>
      </w:r>
      <w:r>
        <w:rPr>
          <w:rFonts w:ascii="Times New Roman" w:hAnsi="Times New Roman"/>
          <w:szCs w:val="24"/>
          <w:lang w:val="en-US"/>
        </w:rPr>
        <w:t xml:space="preserve"> phase</w:t>
      </w:r>
      <w:r>
        <w:rPr>
          <w:rFonts w:ascii="Times New Roman" w:hAnsi="Times New Roman"/>
          <w:szCs w:val="24"/>
        </w:rPr>
        <w:t xml:space="preserve"> activities adhere to the proper construction and operation standards specified by the design and supervision engineers.</w:t>
      </w:r>
    </w:p>
    <w:p w14:paraId="42B38EE6">
      <w:pPr>
        <w:spacing w:line="240" w:lineRule="auto"/>
        <w:rPr>
          <w:rFonts w:ascii="Times New Roman" w:hAnsi="Times New Roman"/>
          <w:szCs w:val="24"/>
        </w:rPr>
      </w:pPr>
      <w:r>
        <w:rPr>
          <w:rFonts w:ascii="Times New Roman" w:hAnsi="Times New Roman"/>
          <w:szCs w:val="24"/>
        </w:rPr>
        <w:t>The positive benefits of the project will include:</w:t>
      </w:r>
    </w:p>
    <w:p w14:paraId="7D7DE0DF">
      <w:pPr>
        <w:pStyle w:val="32"/>
        <w:numPr>
          <w:ilvl w:val="0"/>
          <w:numId w:val="4"/>
        </w:numPr>
        <w:spacing w:line="240" w:lineRule="auto"/>
        <w:rPr>
          <w:rFonts w:ascii="Times New Roman" w:hAnsi="Times New Roman"/>
          <w:szCs w:val="24"/>
        </w:rPr>
      </w:pPr>
      <w:r>
        <w:rPr>
          <w:rFonts w:ascii="Times New Roman" w:hAnsi="Times New Roman"/>
          <w:szCs w:val="24"/>
        </w:rPr>
        <w:t>Employment during construction</w:t>
      </w:r>
    </w:p>
    <w:p w14:paraId="6128CA9D">
      <w:pPr>
        <w:pStyle w:val="32"/>
        <w:numPr>
          <w:ilvl w:val="0"/>
          <w:numId w:val="4"/>
        </w:numPr>
        <w:spacing w:line="240" w:lineRule="auto"/>
        <w:rPr>
          <w:rFonts w:ascii="Times New Roman" w:hAnsi="Times New Roman"/>
          <w:szCs w:val="24"/>
        </w:rPr>
      </w:pPr>
      <w:r>
        <w:rPr>
          <w:rFonts w:ascii="Times New Roman" w:hAnsi="Times New Roman"/>
          <w:szCs w:val="24"/>
        </w:rPr>
        <w:t xml:space="preserve">Improved supply of sanitation services </w:t>
      </w:r>
    </w:p>
    <w:p w14:paraId="74F1CFC2">
      <w:pPr>
        <w:pStyle w:val="32"/>
        <w:numPr>
          <w:ilvl w:val="0"/>
          <w:numId w:val="4"/>
        </w:numPr>
        <w:spacing w:line="240" w:lineRule="auto"/>
        <w:rPr>
          <w:rFonts w:ascii="Times New Roman" w:hAnsi="Times New Roman"/>
          <w:szCs w:val="24"/>
        </w:rPr>
      </w:pPr>
      <w:r>
        <w:rPr>
          <w:rFonts w:ascii="Times New Roman" w:hAnsi="Times New Roman"/>
          <w:szCs w:val="24"/>
        </w:rPr>
        <w:t>Overall improvement in hygiene</w:t>
      </w:r>
    </w:p>
    <w:p w14:paraId="62C048D7">
      <w:pPr>
        <w:pStyle w:val="10"/>
        <w:keepNext/>
        <w:spacing w:after="0"/>
        <w:rPr>
          <w:rFonts w:ascii="Times New Roman" w:hAnsi="Times New Roman"/>
          <w:b/>
          <w:bCs/>
          <w:color w:val="auto"/>
          <w:sz w:val="18"/>
          <w:szCs w:val="18"/>
        </w:rPr>
      </w:pPr>
      <w:bookmarkStart w:id="6" w:name="_Toc224740296"/>
      <w:r>
        <w:rPr>
          <w:rFonts w:ascii="Times New Roman" w:hAnsi="Times New Roman"/>
          <w:b/>
          <w:bCs/>
          <w:color w:val="auto"/>
          <w:sz w:val="18"/>
          <w:szCs w:val="18"/>
        </w:rPr>
        <w:t xml:space="preserve">Table </w:t>
      </w:r>
      <w:r>
        <w:rPr>
          <w:rFonts w:ascii="Times New Roman" w:hAnsi="Times New Roman"/>
          <w:b/>
          <w:bCs/>
          <w:color w:val="auto"/>
          <w:sz w:val="18"/>
          <w:szCs w:val="18"/>
        </w:rPr>
        <w:fldChar w:fldCharType="begin"/>
      </w:r>
      <w:r>
        <w:rPr>
          <w:rFonts w:ascii="Times New Roman" w:hAnsi="Times New Roman"/>
          <w:b/>
          <w:bCs/>
          <w:color w:val="auto"/>
          <w:sz w:val="18"/>
          <w:szCs w:val="18"/>
        </w:rPr>
        <w:instrText xml:space="preserve"> SEQ Table \* ARABIC </w:instrText>
      </w:r>
      <w:r>
        <w:rPr>
          <w:rFonts w:ascii="Times New Roman" w:hAnsi="Times New Roman"/>
          <w:b/>
          <w:bCs/>
          <w:color w:val="auto"/>
          <w:sz w:val="18"/>
          <w:szCs w:val="18"/>
        </w:rPr>
        <w:fldChar w:fldCharType="separate"/>
      </w:r>
      <w:r>
        <w:rPr>
          <w:rFonts w:ascii="Times New Roman" w:hAnsi="Times New Roman"/>
          <w:b/>
          <w:bCs/>
          <w:color w:val="auto"/>
          <w:sz w:val="18"/>
          <w:szCs w:val="18"/>
        </w:rPr>
        <w:t>1</w:t>
      </w:r>
      <w:r>
        <w:rPr>
          <w:rFonts w:ascii="Times New Roman" w:hAnsi="Times New Roman"/>
          <w:b/>
          <w:bCs/>
          <w:color w:val="auto"/>
          <w:sz w:val="18"/>
          <w:szCs w:val="18"/>
        </w:rPr>
        <w:fldChar w:fldCharType="end"/>
      </w:r>
      <w:r>
        <w:rPr>
          <w:rFonts w:ascii="Times New Roman" w:hAnsi="Times New Roman"/>
          <w:b/>
          <w:bCs/>
          <w:color w:val="auto"/>
          <w:sz w:val="18"/>
          <w:szCs w:val="18"/>
        </w:rPr>
        <w:t>: Summary of the Planning, Construction and Decommissioning Phase Risks and Mitigation Measures</w:t>
      </w:r>
      <w:bookmarkEnd w:id="6"/>
    </w:p>
    <w:tbl>
      <w:tblPr>
        <w:tblStyle w:val="48"/>
        <w:tblW w:w="9355"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4585"/>
        <w:gridCol w:w="4770"/>
      </w:tblGrid>
      <w:tr w14:paraId="4AF8DEC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tcPr>
          <w:p w14:paraId="1A1DE80D">
            <w:pPr>
              <w:spacing w:after="0" w:line="240" w:lineRule="auto"/>
              <w:rPr>
                <w:rFonts w:ascii="Times New Roman" w:hAnsi="Times New Roman"/>
                <w:b/>
                <w:bCs/>
                <w:szCs w:val="24"/>
              </w:rPr>
            </w:pPr>
            <w:r>
              <w:rPr>
                <w:rFonts w:ascii="Times New Roman" w:hAnsi="Times New Roman"/>
                <w:b/>
                <w:bCs/>
                <w:szCs w:val="24"/>
              </w:rPr>
              <w:t>Risk / Potential Impact</w:t>
            </w:r>
          </w:p>
        </w:tc>
        <w:tc>
          <w:tcPr>
            <w:tcW w:w="4770" w:type="dxa"/>
          </w:tcPr>
          <w:p w14:paraId="085BF5FF">
            <w:pPr>
              <w:spacing w:after="0" w:line="240" w:lineRule="auto"/>
              <w:rPr>
                <w:rFonts w:ascii="Times New Roman" w:hAnsi="Times New Roman"/>
                <w:b/>
                <w:bCs/>
                <w:szCs w:val="24"/>
              </w:rPr>
            </w:pPr>
            <w:r>
              <w:rPr>
                <w:rFonts w:ascii="Times New Roman" w:hAnsi="Times New Roman"/>
                <w:b/>
                <w:bCs/>
                <w:szCs w:val="24"/>
              </w:rPr>
              <w:t>Proposed Mitigation Measure</w:t>
            </w:r>
          </w:p>
        </w:tc>
      </w:tr>
      <w:tr w14:paraId="496FC9B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shd w:val="clear" w:color="auto" w:fill="F1F1F1" w:themeFill="background1" w:themeFillShade="F2"/>
          </w:tcPr>
          <w:p w14:paraId="48863E8C">
            <w:pPr>
              <w:spacing w:after="0" w:line="240" w:lineRule="auto"/>
              <w:rPr>
                <w:rFonts w:ascii="Times New Roman" w:hAnsi="Times New Roman"/>
                <w:b/>
                <w:bCs/>
                <w:szCs w:val="24"/>
              </w:rPr>
            </w:pPr>
            <w:r>
              <w:rPr>
                <w:rFonts w:ascii="Times New Roman" w:hAnsi="Times New Roman"/>
                <w:b/>
                <w:bCs/>
                <w:szCs w:val="24"/>
              </w:rPr>
              <w:t>Site-related oil spills due to use of machinery and storage of fuel and lubricants</w:t>
            </w:r>
          </w:p>
        </w:tc>
        <w:tc>
          <w:tcPr>
            <w:tcW w:w="4770" w:type="dxa"/>
            <w:shd w:val="clear" w:color="auto" w:fill="F1F1F1" w:themeFill="background1" w:themeFillShade="F2"/>
          </w:tcPr>
          <w:p w14:paraId="611A4FAF">
            <w:pPr>
              <w:spacing w:after="0" w:line="240" w:lineRule="auto"/>
              <w:rPr>
                <w:rFonts w:ascii="Times New Roman" w:hAnsi="Times New Roman"/>
                <w:szCs w:val="24"/>
              </w:rPr>
            </w:pPr>
            <w:r>
              <w:rPr>
                <w:rFonts w:ascii="Times New Roman" w:hAnsi="Times New Roman"/>
                <w:szCs w:val="24"/>
              </w:rPr>
              <w:t>Proper storage of fuel and lubricants in designated areas with secondary containment; regular inspection and maintenance of machinery; immediate clean-up of spills using absorbent materials; provision of spill kits on-site; training of workers on spill response procedures.</w:t>
            </w:r>
          </w:p>
        </w:tc>
      </w:tr>
      <w:tr w14:paraId="2ADAB49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tcPr>
          <w:p w14:paraId="609A1C7D">
            <w:pPr>
              <w:spacing w:after="0" w:line="240" w:lineRule="auto"/>
              <w:rPr>
                <w:rFonts w:ascii="Times New Roman" w:hAnsi="Times New Roman"/>
                <w:b/>
                <w:bCs/>
                <w:szCs w:val="24"/>
              </w:rPr>
            </w:pPr>
            <w:r>
              <w:rPr>
                <w:rFonts w:ascii="Times New Roman" w:hAnsi="Times New Roman"/>
                <w:b/>
                <w:bCs/>
                <w:szCs w:val="24"/>
              </w:rPr>
              <w:t>Degradation of air quality from dust and emissions during construction activities</w:t>
            </w:r>
          </w:p>
        </w:tc>
        <w:tc>
          <w:tcPr>
            <w:tcW w:w="4770" w:type="dxa"/>
          </w:tcPr>
          <w:p w14:paraId="1343CB4B">
            <w:pPr>
              <w:spacing w:after="0" w:line="240" w:lineRule="auto"/>
              <w:rPr>
                <w:rFonts w:ascii="Times New Roman" w:hAnsi="Times New Roman"/>
                <w:szCs w:val="24"/>
              </w:rPr>
            </w:pPr>
            <w:r>
              <w:rPr>
                <w:rFonts w:ascii="Times New Roman" w:hAnsi="Times New Roman"/>
                <w:szCs w:val="24"/>
              </w:rPr>
              <w:t>Regular water sprinkling on exposed surfaces and access roads; covering of trucks transporting materials; proper maintenance of vehicles and equipment to minimize exhaust emissions; use of PPE (dust masks) by workers; limiting idling of engines.</w:t>
            </w:r>
          </w:p>
        </w:tc>
      </w:tr>
      <w:tr w14:paraId="5D968F6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shd w:val="clear" w:color="auto" w:fill="F1F1F1" w:themeFill="background1" w:themeFillShade="F2"/>
          </w:tcPr>
          <w:p w14:paraId="234EF57A">
            <w:pPr>
              <w:spacing w:after="0" w:line="240" w:lineRule="auto"/>
              <w:rPr>
                <w:rFonts w:ascii="Times New Roman" w:hAnsi="Times New Roman"/>
                <w:b/>
                <w:bCs/>
                <w:szCs w:val="24"/>
              </w:rPr>
            </w:pPr>
            <w:r>
              <w:rPr>
                <w:rFonts w:ascii="Times New Roman" w:hAnsi="Times New Roman"/>
                <w:b/>
                <w:bCs/>
                <w:szCs w:val="24"/>
              </w:rPr>
              <w:t>Noise pollution from machinery, equipment, and vehicles</w:t>
            </w:r>
          </w:p>
        </w:tc>
        <w:tc>
          <w:tcPr>
            <w:tcW w:w="4770" w:type="dxa"/>
            <w:shd w:val="clear" w:color="auto" w:fill="F1F1F1" w:themeFill="background1" w:themeFillShade="F2"/>
          </w:tcPr>
          <w:p w14:paraId="272BFD06">
            <w:pPr>
              <w:spacing w:after="0" w:line="240" w:lineRule="auto"/>
              <w:rPr>
                <w:rFonts w:ascii="Times New Roman" w:hAnsi="Times New Roman"/>
                <w:szCs w:val="24"/>
              </w:rPr>
            </w:pPr>
            <w:r>
              <w:rPr>
                <w:rFonts w:ascii="Times New Roman" w:hAnsi="Times New Roman"/>
                <w:szCs w:val="24"/>
              </w:rPr>
              <w:t>Restrict construction activities to daytime hours; regular servicing of equipment; provision of ear protection to workers; advance notice to nearby receptors where necessary.</w:t>
            </w:r>
          </w:p>
        </w:tc>
      </w:tr>
      <w:tr w14:paraId="01564B6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tcPr>
          <w:p w14:paraId="7407E2B7">
            <w:pPr>
              <w:spacing w:after="0" w:line="240" w:lineRule="auto"/>
              <w:rPr>
                <w:rFonts w:ascii="Times New Roman" w:hAnsi="Times New Roman"/>
                <w:b/>
                <w:bCs/>
                <w:szCs w:val="24"/>
              </w:rPr>
            </w:pPr>
            <w:r>
              <w:rPr>
                <w:rFonts w:ascii="Times New Roman" w:hAnsi="Times New Roman"/>
                <w:b/>
                <w:bCs/>
                <w:szCs w:val="24"/>
              </w:rPr>
              <w:t>Generation of solid waste from construction activities and contractor’s camp</w:t>
            </w:r>
          </w:p>
        </w:tc>
        <w:tc>
          <w:tcPr>
            <w:tcW w:w="4770" w:type="dxa"/>
          </w:tcPr>
          <w:p w14:paraId="6D917C31">
            <w:pPr>
              <w:spacing w:after="0" w:line="240" w:lineRule="auto"/>
              <w:rPr>
                <w:rFonts w:ascii="Times New Roman" w:hAnsi="Times New Roman"/>
                <w:szCs w:val="24"/>
              </w:rPr>
            </w:pPr>
            <w:r>
              <w:rPr>
                <w:rFonts w:ascii="Times New Roman" w:hAnsi="Times New Roman"/>
                <w:szCs w:val="24"/>
              </w:rPr>
              <w:t>Preparation and implementation of a Waste Management Plan; segregation of waste at source; reuse and recycling of suitable materials; safe disposal of non-recyclable waste at licensed disposal sites approved by the County Government.</w:t>
            </w:r>
          </w:p>
        </w:tc>
      </w:tr>
      <w:tr w14:paraId="0850AA7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shd w:val="clear" w:color="auto" w:fill="F1F1F1" w:themeFill="background1" w:themeFillShade="F2"/>
          </w:tcPr>
          <w:p w14:paraId="66987687">
            <w:pPr>
              <w:spacing w:after="0" w:line="240" w:lineRule="auto"/>
              <w:rPr>
                <w:rFonts w:ascii="Times New Roman" w:hAnsi="Times New Roman"/>
                <w:b/>
                <w:bCs/>
                <w:szCs w:val="24"/>
              </w:rPr>
            </w:pPr>
            <w:r>
              <w:rPr>
                <w:rFonts w:ascii="Times New Roman" w:hAnsi="Times New Roman"/>
                <w:b/>
                <w:bCs/>
                <w:szCs w:val="24"/>
              </w:rPr>
              <w:t>Occupational and Public Health &amp; Safety risks (accidents, injuries, exposure to hazards)</w:t>
            </w:r>
          </w:p>
        </w:tc>
        <w:tc>
          <w:tcPr>
            <w:tcW w:w="4770" w:type="dxa"/>
            <w:shd w:val="clear" w:color="auto" w:fill="F1F1F1" w:themeFill="background1" w:themeFillShade="F2"/>
          </w:tcPr>
          <w:p w14:paraId="02080266">
            <w:pPr>
              <w:spacing w:after="0" w:line="240" w:lineRule="auto"/>
              <w:rPr>
                <w:rFonts w:ascii="Times New Roman" w:hAnsi="Times New Roman"/>
                <w:szCs w:val="24"/>
              </w:rPr>
            </w:pPr>
            <w:r>
              <w:rPr>
                <w:rFonts w:ascii="Times New Roman" w:hAnsi="Times New Roman"/>
                <w:szCs w:val="24"/>
              </w:rPr>
              <w:t>Implementation of an Occupational Health and Safety (OHS) Plan; provision and enforcement of PPE use; site fencing and controlled access; installation of warning signage; toolbox talks and safety training; first aid kits and trained first aiders on site; insurance cover for workers.</w:t>
            </w:r>
          </w:p>
        </w:tc>
      </w:tr>
      <w:tr w14:paraId="50E6B7E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tcPr>
          <w:p w14:paraId="19A885E8">
            <w:pPr>
              <w:spacing w:after="0" w:line="240" w:lineRule="auto"/>
              <w:rPr>
                <w:rFonts w:ascii="Times New Roman" w:hAnsi="Times New Roman"/>
                <w:b/>
                <w:bCs/>
                <w:szCs w:val="24"/>
              </w:rPr>
            </w:pPr>
            <w:r>
              <w:rPr>
                <w:rFonts w:ascii="Times New Roman" w:hAnsi="Times New Roman"/>
                <w:b/>
                <w:bCs/>
                <w:szCs w:val="24"/>
              </w:rPr>
              <w:t>HIV &amp; AIDS and STI transmission risks due to influx of workers</w:t>
            </w:r>
          </w:p>
        </w:tc>
        <w:tc>
          <w:tcPr>
            <w:tcW w:w="4770" w:type="dxa"/>
          </w:tcPr>
          <w:p w14:paraId="7125C440">
            <w:pPr>
              <w:spacing w:after="0" w:line="240" w:lineRule="auto"/>
              <w:rPr>
                <w:rFonts w:ascii="Times New Roman" w:hAnsi="Times New Roman"/>
                <w:szCs w:val="24"/>
              </w:rPr>
            </w:pPr>
            <w:r>
              <w:rPr>
                <w:rFonts w:ascii="Times New Roman" w:hAnsi="Times New Roman"/>
                <w:szCs w:val="24"/>
              </w:rPr>
              <w:t>Conduct HIV/AIDS and STI awareness campaigns; collaborate with local health facilities for sensitization programs; enforce a Code of Conduct for workers; provide information, education and communication (IEC) materials.</w:t>
            </w:r>
          </w:p>
        </w:tc>
      </w:tr>
      <w:tr w14:paraId="647FD6E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shd w:val="clear" w:color="auto" w:fill="F1F1F1" w:themeFill="background1" w:themeFillShade="F2"/>
          </w:tcPr>
          <w:p w14:paraId="3E2B249D">
            <w:pPr>
              <w:spacing w:after="0" w:line="240" w:lineRule="auto"/>
              <w:rPr>
                <w:rFonts w:ascii="Times New Roman" w:hAnsi="Times New Roman"/>
                <w:b/>
                <w:bCs/>
                <w:szCs w:val="24"/>
              </w:rPr>
            </w:pPr>
            <w:r>
              <w:rPr>
                <w:rFonts w:ascii="Times New Roman" w:hAnsi="Times New Roman"/>
                <w:b/>
                <w:bCs/>
                <w:szCs w:val="24"/>
              </w:rPr>
              <w:t>Gender inequality in access to employment opportunities</w:t>
            </w:r>
          </w:p>
        </w:tc>
        <w:tc>
          <w:tcPr>
            <w:tcW w:w="4770" w:type="dxa"/>
            <w:shd w:val="clear" w:color="auto" w:fill="F1F1F1" w:themeFill="background1" w:themeFillShade="F2"/>
          </w:tcPr>
          <w:p w14:paraId="18287E3E">
            <w:pPr>
              <w:spacing w:after="0" w:line="240" w:lineRule="auto"/>
              <w:rPr>
                <w:rFonts w:ascii="Times New Roman" w:hAnsi="Times New Roman"/>
                <w:szCs w:val="24"/>
              </w:rPr>
            </w:pPr>
            <w:r>
              <w:rPr>
                <w:rFonts w:ascii="Times New Roman" w:hAnsi="Times New Roman"/>
                <w:szCs w:val="24"/>
              </w:rPr>
              <w:t>Ensure equitable recruitment of men and women where feasible; promote women’s participation in skilled and semi-skilled roles; enforce non-discrimination policies in hiring and remuneration.</w:t>
            </w:r>
          </w:p>
        </w:tc>
      </w:tr>
      <w:tr w14:paraId="68EB02B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tcPr>
          <w:p w14:paraId="17636516">
            <w:pPr>
              <w:spacing w:after="0" w:line="240" w:lineRule="auto"/>
              <w:rPr>
                <w:rFonts w:ascii="Times New Roman" w:hAnsi="Times New Roman"/>
                <w:b/>
                <w:bCs/>
                <w:szCs w:val="24"/>
              </w:rPr>
            </w:pPr>
            <w:r>
              <w:rPr>
                <w:rFonts w:ascii="Times New Roman" w:hAnsi="Times New Roman"/>
                <w:b/>
                <w:bCs/>
                <w:szCs w:val="24"/>
              </w:rPr>
              <w:t>Increased crime and insecurity due to storage of construction materials</w:t>
            </w:r>
          </w:p>
        </w:tc>
        <w:tc>
          <w:tcPr>
            <w:tcW w:w="4770" w:type="dxa"/>
          </w:tcPr>
          <w:p w14:paraId="5B29AD52">
            <w:pPr>
              <w:spacing w:after="0" w:line="240" w:lineRule="auto"/>
              <w:rPr>
                <w:rFonts w:ascii="Times New Roman" w:hAnsi="Times New Roman"/>
                <w:szCs w:val="24"/>
              </w:rPr>
            </w:pPr>
            <w:r>
              <w:rPr>
                <w:rFonts w:ascii="Times New Roman" w:hAnsi="Times New Roman"/>
                <w:szCs w:val="24"/>
              </w:rPr>
              <w:t>Secure storage areas; employ security personnel; proper lighting of site; maintain inventory control of materials; collaborate with local administration and community policing initiatives.</w:t>
            </w:r>
          </w:p>
        </w:tc>
      </w:tr>
      <w:tr w14:paraId="47FA532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shd w:val="clear" w:color="auto" w:fill="F1F1F1" w:themeFill="background1" w:themeFillShade="F2"/>
          </w:tcPr>
          <w:p w14:paraId="1AD353B0">
            <w:pPr>
              <w:spacing w:after="0" w:line="240" w:lineRule="auto"/>
              <w:rPr>
                <w:rFonts w:ascii="Times New Roman" w:hAnsi="Times New Roman"/>
                <w:b/>
                <w:bCs/>
                <w:szCs w:val="24"/>
              </w:rPr>
            </w:pPr>
            <w:r>
              <w:rPr>
                <w:rFonts w:ascii="Times New Roman" w:hAnsi="Times New Roman"/>
                <w:b/>
                <w:bCs/>
                <w:szCs w:val="24"/>
              </w:rPr>
              <w:t>Risk of child labour (engagement of persons under 18 years)</w:t>
            </w:r>
          </w:p>
        </w:tc>
        <w:tc>
          <w:tcPr>
            <w:tcW w:w="4770" w:type="dxa"/>
            <w:shd w:val="clear" w:color="auto" w:fill="F1F1F1" w:themeFill="background1" w:themeFillShade="F2"/>
          </w:tcPr>
          <w:p w14:paraId="383E456E">
            <w:pPr>
              <w:spacing w:after="0" w:line="240" w:lineRule="auto"/>
              <w:rPr>
                <w:rFonts w:ascii="Times New Roman" w:hAnsi="Times New Roman"/>
                <w:szCs w:val="24"/>
              </w:rPr>
            </w:pPr>
            <w:r>
              <w:rPr>
                <w:rFonts w:ascii="Times New Roman" w:hAnsi="Times New Roman"/>
                <w:szCs w:val="24"/>
              </w:rPr>
              <w:t>Strict prohibition of child labour in contractor agreements; verification of workers’ identification documents; routine audits and supervision to ensure compliance with labour laws.</w:t>
            </w:r>
          </w:p>
        </w:tc>
      </w:tr>
      <w:tr w14:paraId="553E507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tcPr>
          <w:p w14:paraId="69557A07">
            <w:pPr>
              <w:spacing w:after="0" w:line="240" w:lineRule="auto"/>
              <w:rPr>
                <w:rFonts w:ascii="Times New Roman" w:hAnsi="Times New Roman"/>
                <w:b/>
                <w:bCs/>
                <w:szCs w:val="24"/>
              </w:rPr>
            </w:pPr>
            <w:r>
              <w:rPr>
                <w:rFonts w:ascii="Times New Roman" w:hAnsi="Times New Roman"/>
                <w:b/>
                <w:bCs/>
                <w:szCs w:val="24"/>
              </w:rPr>
              <w:t>Risk of sexual harassment and gender-based discrimination at the workplace</w:t>
            </w:r>
          </w:p>
        </w:tc>
        <w:tc>
          <w:tcPr>
            <w:tcW w:w="4770" w:type="dxa"/>
          </w:tcPr>
          <w:p w14:paraId="0F373D7B">
            <w:pPr>
              <w:spacing w:after="0" w:line="240" w:lineRule="auto"/>
              <w:rPr>
                <w:rFonts w:ascii="Times New Roman" w:hAnsi="Times New Roman"/>
                <w:szCs w:val="24"/>
              </w:rPr>
            </w:pPr>
            <w:r>
              <w:rPr>
                <w:rFonts w:ascii="Times New Roman" w:hAnsi="Times New Roman"/>
                <w:szCs w:val="24"/>
              </w:rPr>
              <w:t>Adoption and enforcement of a workplace Sexual Harassment Policy; signing of Code of Conduct by all workers; confidential grievance redress mechanism (GRM); disciplinary action against offenders.</w:t>
            </w:r>
          </w:p>
        </w:tc>
      </w:tr>
      <w:tr w14:paraId="7411F9C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shd w:val="clear" w:color="auto" w:fill="F1F1F1" w:themeFill="background1" w:themeFillShade="F2"/>
          </w:tcPr>
          <w:p w14:paraId="52A24C62">
            <w:pPr>
              <w:spacing w:after="0" w:line="240" w:lineRule="auto"/>
              <w:rPr>
                <w:rFonts w:ascii="Times New Roman" w:hAnsi="Times New Roman"/>
                <w:b/>
                <w:bCs/>
                <w:szCs w:val="24"/>
              </w:rPr>
            </w:pPr>
            <w:r>
              <w:rPr>
                <w:rFonts w:ascii="Times New Roman" w:hAnsi="Times New Roman"/>
                <w:b/>
                <w:bCs/>
                <w:szCs w:val="24"/>
              </w:rPr>
              <w:t>Risk of Gender-Based Violence (GBV), Sexual Exploitation and Abuse (SEA), and Sexual Harassment (SH) linked to labour influx and community interactions</w:t>
            </w:r>
          </w:p>
        </w:tc>
        <w:tc>
          <w:tcPr>
            <w:tcW w:w="4770" w:type="dxa"/>
            <w:shd w:val="clear" w:color="auto" w:fill="F1F1F1" w:themeFill="background1" w:themeFillShade="F2"/>
          </w:tcPr>
          <w:p w14:paraId="3759334E">
            <w:pPr>
              <w:spacing w:after="0" w:line="240" w:lineRule="auto"/>
              <w:rPr>
                <w:rFonts w:ascii="Times New Roman" w:hAnsi="Times New Roman"/>
                <w:szCs w:val="24"/>
              </w:rPr>
            </w:pPr>
            <w:r>
              <w:rPr>
                <w:rFonts w:ascii="Times New Roman" w:hAnsi="Times New Roman"/>
                <w:szCs w:val="24"/>
              </w:rPr>
              <w:t>Implementation of a GBV Action Plan; worker Code of Conduct addressing GBV/SEA/SH; establishment of a confidential and survivor-centered GRM; awareness creation within the community; collaboration with local GBV support service providers.</w:t>
            </w:r>
          </w:p>
        </w:tc>
      </w:tr>
      <w:tr w14:paraId="770DBA0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tcPr>
          <w:p w14:paraId="70A8E55E">
            <w:pPr>
              <w:spacing w:after="0" w:line="240" w:lineRule="auto"/>
              <w:rPr>
                <w:rFonts w:ascii="Times New Roman" w:hAnsi="Times New Roman"/>
                <w:b/>
                <w:bCs/>
                <w:szCs w:val="24"/>
              </w:rPr>
            </w:pPr>
            <w:r>
              <w:rPr>
                <w:rFonts w:ascii="Times New Roman" w:hAnsi="Times New Roman"/>
                <w:b/>
                <w:bCs/>
                <w:szCs w:val="24"/>
              </w:rPr>
              <w:t>Liability for loss of life, injury, or damage to private property</w:t>
            </w:r>
          </w:p>
        </w:tc>
        <w:tc>
          <w:tcPr>
            <w:tcW w:w="4770" w:type="dxa"/>
          </w:tcPr>
          <w:p w14:paraId="1A743479">
            <w:pPr>
              <w:spacing w:after="0" w:line="240" w:lineRule="auto"/>
              <w:rPr>
                <w:rFonts w:ascii="Times New Roman" w:hAnsi="Times New Roman"/>
                <w:szCs w:val="24"/>
              </w:rPr>
            </w:pPr>
            <w:r>
              <w:rPr>
                <w:rFonts w:ascii="Times New Roman" w:hAnsi="Times New Roman"/>
                <w:szCs w:val="24"/>
              </w:rPr>
              <w:t>Contractor to obtain adequate insurance cover; implement safety controls; barricade hazardous areas; continuous supervision of works; prompt compensation for verified damages in accordance with legal requirements.</w:t>
            </w:r>
          </w:p>
        </w:tc>
      </w:tr>
    </w:tbl>
    <w:p w14:paraId="68C7EE6B">
      <w:pPr>
        <w:pStyle w:val="10"/>
        <w:keepNext/>
        <w:spacing w:after="0"/>
        <w:rPr>
          <w:b/>
          <w:bCs/>
          <w:color w:val="auto"/>
          <w:sz w:val="18"/>
          <w:szCs w:val="18"/>
        </w:rPr>
      </w:pPr>
    </w:p>
    <w:p w14:paraId="3958DB8D">
      <w:pPr>
        <w:pStyle w:val="10"/>
        <w:keepNext/>
        <w:spacing w:after="0"/>
        <w:rPr>
          <w:b/>
          <w:bCs/>
          <w:color w:val="auto"/>
          <w:sz w:val="18"/>
          <w:szCs w:val="18"/>
        </w:rPr>
      </w:pPr>
      <w:bookmarkStart w:id="7" w:name="_Toc224740297"/>
      <w:r>
        <w:rPr>
          <w:b/>
          <w:bCs/>
          <w:color w:val="auto"/>
          <w:sz w:val="18"/>
          <w:szCs w:val="18"/>
        </w:rPr>
        <w:t xml:space="preserve">Table </w:t>
      </w:r>
      <w:r>
        <w:rPr>
          <w:b/>
          <w:bCs/>
          <w:color w:val="auto"/>
          <w:sz w:val="18"/>
          <w:szCs w:val="18"/>
        </w:rPr>
        <w:fldChar w:fldCharType="begin"/>
      </w:r>
      <w:r>
        <w:rPr>
          <w:b/>
          <w:bCs/>
          <w:color w:val="auto"/>
          <w:sz w:val="18"/>
          <w:szCs w:val="18"/>
        </w:rPr>
        <w:instrText xml:space="preserve"> SEQ Table \* ARABIC </w:instrText>
      </w:r>
      <w:r>
        <w:rPr>
          <w:b/>
          <w:bCs/>
          <w:color w:val="auto"/>
          <w:sz w:val="18"/>
          <w:szCs w:val="18"/>
        </w:rPr>
        <w:fldChar w:fldCharType="separate"/>
      </w:r>
      <w:r>
        <w:rPr>
          <w:b/>
          <w:bCs/>
          <w:color w:val="auto"/>
          <w:sz w:val="18"/>
          <w:szCs w:val="18"/>
        </w:rPr>
        <w:t>2</w:t>
      </w:r>
      <w:r>
        <w:rPr>
          <w:b/>
          <w:bCs/>
          <w:color w:val="auto"/>
          <w:sz w:val="18"/>
          <w:szCs w:val="18"/>
        </w:rPr>
        <w:fldChar w:fldCharType="end"/>
      </w:r>
      <w:r>
        <w:rPr>
          <w:b/>
          <w:bCs/>
          <w:color w:val="auto"/>
          <w:sz w:val="18"/>
          <w:szCs w:val="18"/>
        </w:rPr>
        <w:t>: Operation Phase Risks and Mitigation Measures (Including Social Impacts)</w:t>
      </w:r>
      <w:bookmarkEnd w:id="7"/>
    </w:p>
    <w:tbl>
      <w:tblPr>
        <w:tblStyle w:val="48"/>
        <w:tblW w:w="9355"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4585"/>
        <w:gridCol w:w="4770"/>
      </w:tblGrid>
      <w:tr w14:paraId="2367041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tcPr>
          <w:p w14:paraId="3717EA0E">
            <w:pPr>
              <w:spacing w:after="0" w:line="240" w:lineRule="auto"/>
              <w:rPr>
                <w:rFonts w:ascii="Times New Roman" w:hAnsi="Times New Roman"/>
                <w:b/>
                <w:bCs/>
                <w:szCs w:val="24"/>
              </w:rPr>
            </w:pPr>
            <w:r>
              <w:rPr>
                <w:rFonts w:ascii="Times New Roman" w:hAnsi="Times New Roman"/>
                <w:b/>
                <w:bCs/>
                <w:szCs w:val="24"/>
              </w:rPr>
              <w:t>Risk / Potential Impact</w:t>
            </w:r>
          </w:p>
        </w:tc>
        <w:tc>
          <w:tcPr>
            <w:tcW w:w="4770" w:type="dxa"/>
          </w:tcPr>
          <w:p w14:paraId="2B7ADC6D">
            <w:pPr>
              <w:spacing w:after="0" w:line="240" w:lineRule="auto"/>
              <w:rPr>
                <w:rFonts w:ascii="Times New Roman" w:hAnsi="Times New Roman"/>
                <w:b/>
                <w:bCs/>
                <w:szCs w:val="24"/>
              </w:rPr>
            </w:pPr>
            <w:r>
              <w:rPr>
                <w:rFonts w:ascii="Times New Roman" w:hAnsi="Times New Roman"/>
                <w:b/>
                <w:bCs/>
                <w:szCs w:val="24"/>
              </w:rPr>
              <w:t>Proposed Mitigation Measure</w:t>
            </w:r>
          </w:p>
        </w:tc>
      </w:tr>
      <w:tr w14:paraId="6CEE858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shd w:val="clear" w:color="auto" w:fill="F1F1F1" w:themeFill="background1" w:themeFillShade="F2"/>
          </w:tcPr>
          <w:p w14:paraId="421391B6">
            <w:pPr>
              <w:spacing w:after="0" w:line="240" w:lineRule="auto"/>
              <w:rPr>
                <w:rFonts w:ascii="Times New Roman" w:hAnsi="Times New Roman"/>
                <w:b/>
                <w:bCs/>
                <w:szCs w:val="24"/>
              </w:rPr>
            </w:pPr>
            <w:r>
              <w:rPr>
                <w:rFonts w:ascii="Times New Roman" w:hAnsi="Times New Roman"/>
                <w:b/>
                <w:bCs/>
                <w:szCs w:val="24"/>
              </w:rPr>
              <w:t>Odour nuisance and proliferation of houseflies due to poor maintenance of the ablution block</w:t>
            </w:r>
          </w:p>
        </w:tc>
        <w:tc>
          <w:tcPr>
            <w:tcW w:w="4770" w:type="dxa"/>
            <w:shd w:val="clear" w:color="auto" w:fill="F1F1F1" w:themeFill="background1" w:themeFillShade="F2"/>
          </w:tcPr>
          <w:p w14:paraId="03C9B9EE">
            <w:pPr>
              <w:spacing w:after="0" w:line="240" w:lineRule="auto"/>
              <w:rPr>
                <w:rFonts w:ascii="Times New Roman" w:hAnsi="Times New Roman"/>
                <w:szCs w:val="24"/>
              </w:rPr>
            </w:pPr>
            <w:r>
              <w:rPr>
                <w:rFonts w:ascii="Times New Roman" w:hAnsi="Times New Roman"/>
                <w:szCs w:val="24"/>
              </w:rPr>
              <w:t>Regular cleaning and disinfection of the facility; continuous water supply for flushing; proper ventilation; scheduled desludging of the septic tank; routine inspection of plumbing systems; prompt repair of leaks or blockages.</w:t>
            </w:r>
          </w:p>
        </w:tc>
      </w:tr>
      <w:tr w14:paraId="671865D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tcPr>
          <w:p w14:paraId="15854A03">
            <w:pPr>
              <w:spacing w:after="0" w:line="240" w:lineRule="auto"/>
              <w:rPr>
                <w:rFonts w:ascii="Times New Roman" w:hAnsi="Times New Roman"/>
                <w:b/>
                <w:bCs/>
                <w:szCs w:val="24"/>
              </w:rPr>
            </w:pPr>
            <w:r>
              <w:rPr>
                <w:rFonts w:ascii="Times New Roman" w:hAnsi="Times New Roman"/>
                <w:b/>
                <w:bCs/>
                <w:szCs w:val="24"/>
              </w:rPr>
              <w:t>Groundwater pollution from leakage or failure of the septic tank and soak pit system</w:t>
            </w:r>
          </w:p>
        </w:tc>
        <w:tc>
          <w:tcPr>
            <w:tcW w:w="4770" w:type="dxa"/>
          </w:tcPr>
          <w:p w14:paraId="357510F5">
            <w:pPr>
              <w:spacing w:after="0" w:line="240" w:lineRule="auto"/>
              <w:rPr>
                <w:rFonts w:ascii="Times New Roman" w:hAnsi="Times New Roman"/>
                <w:szCs w:val="24"/>
              </w:rPr>
            </w:pPr>
            <w:r>
              <w:rPr>
                <w:rFonts w:ascii="Times New Roman" w:hAnsi="Times New Roman"/>
                <w:szCs w:val="24"/>
              </w:rPr>
              <w:t>Ensure proper design and construction of septic tank and soak pit in accordance with public health standards; site the soak pit at safe distances from water sources; periodic inspection of septic tank and pipework for cracks or leakages; scheduled emptying by licensed exhauster trucks; safe disposal of sludge at approved treatment facilities.</w:t>
            </w:r>
          </w:p>
        </w:tc>
      </w:tr>
      <w:tr w14:paraId="3450DD6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shd w:val="clear" w:color="auto" w:fill="F1F1F1" w:themeFill="background1" w:themeFillShade="F2"/>
          </w:tcPr>
          <w:p w14:paraId="2E08A77A">
            <w:pPr>
              <w:spacing w:after="0" w:line="240" w:lineRule="auto"/>
              <w:rPr>
                <w:rFonts w:ascii="Times New Roman" w:hAnsi="Times New Roman"/>
                <w:b/>
                <w:bCs/>
                <w:szCs w:val="24"/>
              </w:rPr>
            </w:pPr>
            <w:r>
              <w:rPr>
                <w:rFonts w:ascii="Times New Roman" w:hAnsi="Times New Roman"/>
                <w:b/>
                <w:bCs/>
                <w:szCs w:val="24"/>
              </w:rPr>
              <w:t>Solid waste accumulation within the facility</w:t>
            </w:r>
          </w:p>
        </w:tc>
        <w:tc>
          <w:tcPr>
            <w:tcW w:w="4770" w:type="dxa"/>
            <w:shd w:val="clear" w:color="auto" w:fill="F1F1F1" w:themeFill="background1" w:themeFillShade="F2"/>
          </w:tcPr>
          <w:p w14:paraId="1D0DC525">
            <w:pPr>
              <w:spacing w:after="0" w:line="240" w:lineRule="auto"/>
              <w:rPr>
                <w:rFonts w:ascii="Times New Roman" w:hAnsi="Times New Roman"/>
                <w:szCs w:val="24"/>
              </w:rPr>
            </w:pPr>
            <w:r>
              <w:rPr>
                <w:rFonts w:ascii="Times New Roman" w:hAnsi="Times New Roman"/>
                <w:szCs w:val="24"/>
              </w:rPr>
              <w:t>Provision of clearly marked waste bins inside cubicles (including covered bins for sanitary waste); routine collection and safe storage of waste; disposal through the County-approved waste collection system; installation of signage discouraging disposal of solid waste into toilets; periodic emptying of septic tank sludge by licensed service providers.</w:t>
            </w:r>
          </w:p>
        </w:tc>
      </w:tr>
      <w:tr w14:paraId="328A47B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tcPr>
          <w:p w14:paraId="1D4AA4C4">
            <w:pPr>
              <w:spacing w:after="0" w:line="240" w:lineRule="auto"/>
              <w:rPr>
                <w:rFonts w:ascii="Times New Roman" w:hAnsi="Times New Roman"/>
                <w:b/>
                <w:bCs/>
                <w:szCs w:val="24"/>
              </w:rPr>
            </w:pPr>
            <w:r>
              <w:rPr>
                <w:rFonts w:ascii="Times New Roman" w:hAnsi="Times New Roman"/>
                <w:b/>
                <w:bCs/>
                <w:szCs w:val="24"/>
              </w:rPr>
              <w:t>Public health risks due to poor hygiene practices or inadequate maintenance</w:t>
            </w:r>
          </w:p>
        </w:tc>
        <w:tc>
          <w:tcPr>
            <w:tcW w:w="4770" w:type="dxa"/>
          </w:tcPr>
          <w:p w14:paraId="539FBFB4">
            <w:pPr>
              <w:spacing w:after="0" w:line="240" w:lineRule="auto"/>
              <w:rPr>
                <w:rFonts w:ascii="Times New Roman" w:hAnsi="Times New Roman"/>
                <w:szCs w:val="24"/>
              </w:rPr>
            </w:pPr>
            <w:r>
              <w:rPr>
                <w:rFonts w:ascii="Times New Roman" w:hAnsi="Times New Roman"/>
                <w:szCs w:val="24"/>
              </w:rPr>
              <w:t>Assign trained personnel for daily cleaning and supervision; provide adequate handwashing facilities with soap; display hygiene awareness signage; maintain adequate lighting and ventilation.</w:t>
            </w:r>
          </w:p>
        </w:tc>
      </w:tr>
      <w:tr w14:paraId="4454622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shd w:val="clear" w:color="auto" w:fill="F1F1F1" w:themeFill="background1" w:themeFillShade="F2"/>
          </w:tcPr>
          <w:p w14:paraId="7DED08F8">
            <w:pPr>
              <w:spacing w:after="0" w:line="240" w:lineRule="auto"/>
              <w:rPr>
                <w:rFonts w:ascii="Times New Roman" w:hAnsi="Times New Roman"/>
                <w:b/>
                <w:bCs/>
                <w:szCs w:val="24"/>
              </w:rPr>
            </w:pPr>
            <w:r>
              <w:rPr>
                <w:rFonts w:ascii="Times New Roman" w:hAnsi="Times New Roman"/>
                <w:b/>
                <w:bCs/>
                <w:szCs w:val="24"/>
              </w:rPr>
              <w:t>User conflicts and vandalism</w:t>
            </w:r>
          </w:p>
        </w:tc>
        <w:tc>
          <w:tcPr>
            <w:tcW w:w="4770" w:type="dxa"/>
            <w:shd w:val="clear" w:color="auto" w:fill="F1F1F1" w:themeFill="background1" w:themeFillShade="F2"/>
          </w:tcPr>
          <w:p w14:paraId="097E10BA">
            <w:pPr>
              <w:spacing w:after="0" w:line="240" w:lineRule="auto"/>
              <w:rPr>
                <w:rFonts w:ascii="Times New Roman" w:hAnsi="Times New Roman"/>
                <w:szCs w:val="24"/>
              </w:rPr>
            </w:pPr>
            <w:r>
              <w:rPr>
                <w:rFonts w:ascii="Times New Roman" w:hAnsi="Times New Roman"/>
                <w:szCs w:val="24"/>
              </w:rPr>
              <w:t>Community sensitization on proper use of facilities; engagement of a caretaker; establishment of user guidelines; minor user fees (where applicable) to support maintenance; collaboration with local administration for security oversight.</w:t>
            </w:r>
          </w:p>
        </w:tc>
      </w:tr>
      <w:tr w14:paraId="2484C87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tcPr>
          <w:p w14:paraId="74461695">
            <w:pPr>
              <w:spacing w:after="0" w:line="240" w:lineRule="auto"/>
              <w:rPr>
                <w:rFonts w:ascii="Times New Roman" w:hAnsi="Times New Roman"/>
                <w:b/>
                <w:bCs/>
                <w:szCs w:val="24"/>
              </w:rPr>
            </w:pPr>
            <w:r>
              <w:rPr>
                <w:rFonts w:ascii="Times New Roman" w:hAnsi="Times New Roman"/>
                <w:b/>
                <w:bCs/>
                <w:szCs w:val="24"/>
              </w:rPr>
              <w:t>Exclusion of vulnerable groups during operation</w:t>
            </w:r>
          </w:p>
        </w:tc>
        <w:tc>
          <w:tcPr>
            <w:tcW w:w="4770" w:type="dxa"/>
          </w:tcPr>
          <w:p w14:paraId="3FDD369C">
            <w:pPr>
              <w:spacing w:after="0" w:line="240" w:lineRule="auto"/>
              <w:rPr>
                <w:rFonts w:ascii="Times New Roman" w:hAnsi="Times New Roman"/>
                <w:szCs w:val="24"/>
              </w:rPr>
            </w:pPr>
            <w:r>
              <w:rPr>
                <w:rFonts w:ascii="Times New Roman" w:hAnsi="Times New Roman"/>
                <w:szCs w:val="24"/>
              </w:rPr>
              <w:t>Ensure universal access design (ramps, handrails, accessible cubicles); maintain affordability of user fees; involve community representatives in management oversight.</w:t>
            </w:r>
          </w:p>
        </w:tc>
      </w:tr>
      <w:tr w14:paraId="2C19C2C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85" w:type="dxa"/>
            <w:shd w:val="clear" w:color="auto" w:fill="F1F1F1" w:themeFill="background1" w:themeFillShade="F2"/>
          </w:tcPr>
          <w:p w14:paraId="150BC6F1">
            <w:pPr>
              <w:spacing w:after="0" w:line="240" w:lineRule="auto"/>
              <w:rPr>
                <w:rFonts w:ascii="Times New Roman" w:hAnsi="Times New Roman"/>
                <w:b/>
                <w:bCs/>
                <w:szCs w:val="24"/>
              </w:rPr>
            </w:pPr>
            <w:r>
              <w:rPr>
                <w:rFonts w:ascii="Times New Roman" w:hAnsi="Times New Roman"/>
                <w:b/>
                <w:bCs/>
                <w:szCs w:val="24"/>
              </w:rPr>
              <w:t>Occupational health risks to operation and maintenance staff</w:t>
            </w:r>
          </w:p>
        </w:tc>
        <w:tc>
          <w:tcPr>
            <w:tcW w:w="4770" w:type="dxa"/>
            <w:shd w:val="clear" w:color="auto" w:fill="F1F1F1" w:themeFill="background1" w:themeFillShade="F2"/>
          </w:tcPr>
          <w:p w14:paraId="7FDBBE20">
            <w:pPr>
              <w:spacing w:after="0" w:line="240" w:lineRule="auto"/>
              <w:rPr>
                <w:rFonts w:ascii="Times New Roman" w:hAnsi="Times New Roman"/>
                <w:szCs w:val="24"/>
              </w:rPr>
            </w:pPr>
            <w:r>
              <w:rPr>
                <w:rFonts w:ascii="Times New Roman" w:hAnsi="Times New Roman"/>
                <w:szCs w:val="24"/>
              </w:rPr>
              <w:t>Provision of appropriate PPE (gloves, boots, masks); training on safe handling of cleaning agents and sludge; vaccination of workers where necessary; adherence to public health guidelines during desludging operations.</w:t>
            </w:r>
          </w:p>
        </w:tc>
      </w:tr>
    </w:tbl>
    <w:p w14:paraId="7351BDD4">
      <w:pPr>
        <w:spacing w:line="240" w:lineRule="auto"/>
        <w:rPr>
          <w:rFonts w:ascii="Times New Roman" w:hAnsi="Times New Roman"/>
          <w:szCs w:val="24"/>
        </w:rPr>
      </w:pPr>
    </w:p>
    <w:p w14:paraId="21EC6C0C">
      <w:pPr>
        <w:pStyle w:val="19"/>
        <w:numPr>
          <w:ilvl w:val="0"/>
          <w:numId w:val="3"/>
        </w:numPr>
        <w:spacing w:line="240" w:lineRule="auto"/>
        <w:rPr>
          <w:rFonts w:ascii="Times New Roman" w:hAnsi="Times New Roman"/>
          <w:u w:val="single"/>
          <w:lang w:val="en-GB"/>
        </w:rPr>
      </w:pPr>
      <w:r>
        <w:rPr>
          <w:rFonts w:ascii="Times New Roman" w:hAnsi="Times New Roman"/>
          <w:u w:val="single"/>
          <w:lang w:val="en-GB"/>
        </w:rPr>
        <w:t>Environmental and Social Management Plan (ESMP)</w:t>
      </w:r>
    </w:p>
    <w:p w14:paraId="05F9CFEB">
      <w:pPr>
        <w:spacing w:after="200" w:line="240" w:lineRule="auto"/>
        <w:jc w:val="both"/>
        <w:rPr>
          <w:rFonts w:ascii="Times New Roman" w:hAnsi="Times New Roman"/>
        </w:rPr>
      </w:pPr>
      <w:r>
        <w:rPr>
          <w:rFonts w:ascii="Times New Roman" w:hAnsi="Times New Roman"/>
        </w:rPr>
        <w:t>This Environmental and Social Management Plan (ESMP) has been prepared to reduce, minimize, or altogether eliminate adverse environmental and social impacts of the project. Positive impacts, which constitute project enhancements, do not require mitigation measures.</w:t>
      </w:r>
    </w:p>
    <w:p w14:paraId="5BAA2FC1">
      <w:pPr>
        <w:spacing w:after="200" w:line="240" w:lineRule="auto"/>
        <w:jc w:val="both"/>
        <w:rPr>
          <w:rFonts w:ascii="Times New Roman" w:hAnsi="Times New Roman"/>
        </w:rPr>
      </w:pPr>
      <w:r>
        <w:rPr>
          <w:rFonts w:ascii="Times New Roman" w:hAnsi="Times New Roman"/>
        </w:rPr>
        <w:t>The ESMP is fully detailed in Chapter 8 of this report. The table below provides a summary of the identified environmental and social impacts, their corresponding mitigation measures, and the parties responsible for implementing these measures.</w:t>
      </w:r>
    </w:p>
    <w:p w14:paraId="2AF6E099">
      <w:pPr>
        <w:spacing w:after="200" w:line="240" w:lineRule="auto"/>
        <w:jc w:val="both"/>
        <w:rPr>
          <w:rFonts w:ascii="Times New Roman" w:hAnsi="Times New Roman"/>
        </w:rPr>
      </w:pPr>
      <w:r>
        <w:rPr>
          <w:rFonts w:ascii="Times New Roman" w:hAnsi="Times New Roman"/>
        </w:rPr>
        <w:t>During project implementation, the Contractor will submit monthly progress reports to the Supervision Consultant and the Project Coordination Unit, which comprises the Environmental and Social Expert and KIMAWASCO, detailing the status of ESMP implementation.</w:t>
      </w:r>
    </w:p>
    <w:p w14:paraId="5C130D1F">
      <w:pPr>
        <w:spacing w:after="200" w:line="240" w:lineRule="auto"/>
        <w:jc w:val="both"/>
        <w:rPr>
          <w:rFonts w:ascii="Times New Roman" w:hAnsi="Times New Roman"/>
        </w:rPr>
      </w:pPr>
      <w:r>
        <w:rPr>
          <w:rFonts w:ascii="Times New Roman" w:hAnsi="Times New Roman"/>
        </w:rPr>
        <w:t>In line with the requirements of the Occupational Health and Safety Act (OSHA) 2007, the Environmental Management and Coordination Act (EMCA) 1999 and its 2015 Amendment, and the World Bank Environmental, Health, and Safety (EHS) Guidelines, all ESHS incidents—including accidents, dangerous occurrences, and occupational diseases—shall be promptly reported to the relevant regulatory authorities using the prescribed formats (DOSHS ML/DOSHS/FORM 1). Reports shall also be submitted to the World Bank.</w:t>
      </w:r>
    </w:p>
    <w:p w14:paraId="61EB394C">
      <w:pPr>
        <w:spacing w:after="200" w:line="240" w:lineRule="auto"/>
        <w:jc w:val="both"/>
        <w:rPr>
          <w:rFonts w:ascii="Times New Roman" w:hAnsi="Times New Roman"/>
          <w:szCs w:val="24"/>
        </w:rPr>
        <w:sectPr>
          <w:headerReference r:id="rId8" w:type="first"/>
          <w:headerReference r:id="rId7" w:type="default"/>
          <w:footerReference r:id="rId9" w:type="default"/>
          <w:pgSz w:w="11906" w:h="16838"/>
          <w:pgMar w:top="1440" w:right="833" w:bottom="727" w:left="1764" w:header="720" w:footer="720" w:gutter="0"/>
          <w:pgNumType w:fmt="lowerRoman" w:start="1"/>
          <w:cols w:space="720" w:num="1"/>
          <w:titlePg/>
          <w:docGrid w:linePitch="360" w:charSpace="0"/>
        </w:sectPr>
      </w:pPr>
      <w:r>
        <w:rPr>
          <w:rFonts w:ascii="Times New Roman" w:hAnsi="Times New Roman"/>
        </w:rPr>
        <w:t>Records of all incidents will be maintained and made available for inspection throughout the project implementation phase. For every reportable incident, an investigation shall be conducted, and a corrective action plan developed to prevent recurrence.</w:t>
      </w:r>
    </w:p>
    <w:p w14:paraId="18020D0D">
      <w:pPr>
        <w:pStyle w:val="10"/>
        <w:keepNext/>
        <w:rPr>
          <w:rFonts w:ascii="Times New Roman" w:hAnsi="Times New Roman"/>
          <w:b/>
          <w:bCs/>
          <w:color w:val="auto"/>
        </w:rPr>
      </w:pPr>
      <w:bookmarkStart w:id="8" w:name="_Toc224740298"/>
      <w:r>
        <w:rPr>
          <w:rFonts w:ascii="Times New Roman" w:hAnsi="Times New Roman"/>
          <w:b/>
          <w:bCs/>
          <w:color w:val="auto"/>
        </w:rPr>
        <w:t xml:space="preserve">Table </w:t>
      </w:r>
      <w:r>
        <w:rPr>
          <w:rFonts w:ascii="Times New Roman" w:hAnsi="Times New Roman"/>
          <w:b/>
          <w:bCs/>
          <w:color w:val="auto"/>
        </w:rPr>
        <w:fldChar w:fldCharType="begin"/>
      </w:r>
      <w:r>
        <w:rPr>
          <w:rFonts w:ascii="Times New Roman" w:hAnsi="Times New Roman"/>
          <w:b/>
          <w:bCs/>
          <w:color w:val="auto"/>
        </w:rPr>
        <w:instrText xml:space="preserve"> SEQ Table \* ARABIC </w:instrText>
      </w:r>
      <w:r>
        <w:rPr>
          <w:rFonts w:ascii="Times New Roman" w:hAnsi="Times New Roman"/>
          <w:b/>
          <w:bCs/>
          <w:color w:val="auto"/>
        </w:rPr>
        <w:fldChar w:fldCharType="separate"/>
      </w:r>
      <w:r>
        <w:rPr>
          <w:rFonts w:ascii="Times New Roman" w:hAnsi="Times New Roman"/>
          <w:b/>
          <w:bCs/>
          <w:color w:val="auto"/>
        </w:rPr>
        <w:t>3</w:t>
      </w:r>
      <w:r>
        <w:rPr>
          <w:rFonts w:ascii="Times New Roman" w:hAnsi="Times New Roman"/>
          <w:b/>
          <w:bCs/>
          <w:color w:val="auto"/>
        </w:rPr>
        <w:fldChar w:fldCharType="end"/>
      </w:r>
      <w:bookmarkStart w:id="9" w:name="_Toc13497"/>
      <w:r>
        <w:rPr>
          <w:rFonts w:ascii="Times New Roman" w:hAnsi="Times New Roman"/>
          <w:b/>
          <w:bCs/>
          <w:color w:val="auto"/>
        </w:rPr>
        <w:t>:Summary of the Environmental and Social Impacts and Mitigation Measures</w:t>
      </w:r>
      <w:bookmarkEnd w:id="8"/>
      <w:bookmarkEnd w:id="9"/>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2394"/>
        <w:gridCol w:w="2767"/>
        <w:gridCol w:w="3566"/>
        <w:gridCol w:w="1166"/>
        <w:gridCol w:w="1500"/>
        <w:gridCol w:w="1500"/>
      </w:tblGrid>
      <w:tr w14:paraId="2BA2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blHeader/>
        </w:trPr>
        <w:tc>
          <w:tcPr>
            <w:tcW w:w="1494" w:type="dxa"/>
            <w:shd w:val="clear" w:color="auto" w:fill="F1F1F1"/>
          </w:tcPr>
          <w:p w14:paraId="21BB698A">
            <w:pPr>
              <w:spacing w:after="200" w:line="240" w:lineRule="auto"/>
              <w:jc w:val="both"/>
              <w:rPr>
                <w:rFonts w:ascii="Times New Roman" w:hAnsi="Times New Roman"/>
                <w:b/>
                <w:bCs/>
                <w:sz w:val="20"/>
                <w:szCs w:val="20"/>
                <w:lang w:val="en-US"/>
              </w:rPr>
            </w:pPr>
            <w:r>
              <w:rPr>
                <w:rFonts w:ascii="Times New Roman" w:hAnsi="Times New Roman"/>
                <w:b/>
                <w:bCs/>
                <w:sz w:val="20"/>
                <w:szCs w:val="20"/>
              </w:rPr>
              <w:t xml:space="preserve">Phases </w:t>
            </w:r>
          </w:p>
        </w:tc>
        <w:tc>
          <w:tcPr>
            <w:tcW w:w="2394" w:type="dxa"/>
            <w:shd w:val="clear" w:color="auto" w:fill="F1F1F1"/>
          </w:tcPr>
          <w:p w14:paraId="2DCCA75B">
            <w:pPr>
              <w:spacing w:after="200" w:line="240" w:lineRule="auto"/>
              <w:jc w:val="both"/>
              <w:rPr>
                <w:rFonts w:ascii="Times New Roman" w:hAnsi="Times New Roman"/>
                <w:b/>
                <w:bCs/>
                <w:sz w:val="20"/>
                <w:szCs w:val="20"/>
              </w:rPr>
            </w:pPr>
            <w:r>
              <w:rPr>
                <w:rFonts w:ascii="Times New Roman" w:hAnsi="Times New Roman"/>
                <w:b/>
                <w:bCs/>
                <w:sz w:val="20"/>
                <w:szCs w:val="20"/>
              </w:rPr>
              <w:t>Environmental/Social Component</w:t>
            </w:r>
          </w:p>
        </w:tc>
        <w:tc>
          <w:tcPr>
            <w:tcW w:w="2767" w:type="dxa"/>
            <w:shd w:val="clear" w:color="auto" w:fill="F1F1F1"/>
          </w:tcPr>
          <w:p w14:paraId="1F3D07D5">
            <w:pPr>
              <w:spacing w:after="200" w:line="240" w:lineRule="auto"/>
              <w:jc w:val="both"/>
              <w:rPr>
                <w:rFonts w:ascii="Times New Roman" w:hAnsi="Times New Roman"/>
                <w:b/>
                <w:bCs/>
                <w:sz w:val="20"/>
                <w:szCs w:val="20"/>
              </w:rPr>
            </w:pPr>
            <w:r>
              <w:rPr>
                <w:rFonts w:ascii="Times New Roman" w:hAnsi="Times New Roman"/>
                <w:b/>
                <w:bCs/>
                <w:sz w:val="20"/>
                <w:szCs w:val="20"/>
              </w:rPr>
              <w:t>Performance Indicators</w:t>
            </w:r>
          </w:p>
        </w:tc>
        <w:tc>
          <w:tcPr>
            <w:tcW w:w="3566" w:type="dxa"/>
            <w:shd w:val="clear" w:color="auto" w:fill="F1F1F1"/>
          </w:tcPr>
          <w:p w14:paraId="03622B95">
            <w:pPr>
              <w:spacing w:after="200" w:line="240" w:lineRule="auto"/>
              <w:jc w:val="both"/>
              <w:rPr>
                <w:rFonts w:ascii="Times New Roman" w:hAnsi="Times New Roman"/>
                <w:b/>
                <w:bCs/>
                <w:sz w:val="20"/>
                <w:szCs w:val="20"/>
              </w:rPr>
            </w:pPr>
            <w:r>
              <w:rPr>
                <w:rFonts w:ascii="Times New Roman" w:hAnsi="Times New Roman"/>
                <w:b/>
                <w:bCs/>
                <w:sz w:val="20"/>
                <w:szCs w:val="20"/>
              </w:rPr>
              <w:t>Mitigation Measures</w:t>
            </w:r>
          </w:p>
        </w:tc>
        <w:tc>
          <w:tcPr>
            <w:tcW w:w="1166" w:type="dxa"/>
            <w:shd w:val="clear" w:color="auto" w:fill="F1F1F1"/>
          </w:tcPr>
          <w:p w14:paraId="682EA541">
            <w:pPr>
              <w:spacing w:after="200" w:line="240" w:lineRule="auto"/>
              <w:jc w:val="both"/>
              <w:rPr>
                <w:rFonts w:ascii="Times New Roman" w:hAnsi="Times New Roman"/>
                <w:b/>
                <w:bCs/>
                <w:sz w:val="20"/>
                <w:szCs w:val="20"/>
              </w:rPr>
            </w:pPr>
            <w:r>
              <w:rPr>
                <w:rFonts w:ascii="Times New Roman" w:hAnsi="Times New Roman"/>
                <w:b/>
                <w:bCs/>
                <w:sz w:val="20"/>
                <w:szCs w:val="20"/>
              </w:rPr>
              <w:t>Frequency</w:t>
            </w:r>
          </w:p>
        </w:tc>
        <w:tc>
          <w:tcPr>
            <w:tcW w:w="1500" w:type="dxa"/>
            <w:shd w:val="clear" w:color="auto" w:fill="F1F1F1"/>
          </w:tcPr>
          <w:p w14:paraId="60869C4E">
            <w:pPr>
              <w:spacing w:after="200" w:line="240" w:lineRule="auto"/>
              <w:jc w:val="both"/>
              <w:rPr>
                <w:rFonts w:ascii="Times New Roman" w:hAnsi="Times New Roman"/>
                <w:b/>
                <w:bCs/>
                <w:sz w:val="20"/>
                <w:szCs w:val="20"/>
              </w:rPr>
            </w:pPr>
            <w:r>
              <w:rPr>
                <w:rFonts w:ascii="Times New Roman" w:hAnsi="Times New Roman"/>
                <w:b/>
                <w:bCs/>
                <w:sz w:val="20"/>
                <w:szCs w:val="20"/>
              </w:rPr>
              <w:t>Responsibility</w:t>
            </w:r>
          </w:p>
        </w:tc>
        <w:tc>
          <w:tcPr>
            <w:tcW w:w="1500" w:type="dxa"/>
            <w:shd w:val="clear" w:color="auto" w:fill="F1F1F1"/>
          </w:tcPr>
          <w:p w14:paraId="2727598B">
            <w:pPr>
              <w:spacing w:after="200" w:line="240" w:lineRule="auto"/>
              <w:jc w:val="both"/>
              <w:rPr>
                <w:rFonts w:ascii="Times New Roman" w:hAnsi="Times New Roman"/>
                <w:b/>
                <w:bCs/>
                <w:sz w:val="20"/>
                <w:szCs w:val="20"/>
                <w:lang w:val="en-US"/>
              </w:rPr>
            </w:pPr>
            <w:r>
              <w:rPr>
                <w:rFonts w:ascii="Times New Roman" w:hAnsi="Times New Roman"/>
                <w:b/>
                <w:bCs/>
                <w:sz w:val="20"/>
                <w:szCs w:val="20"/>
                <w:lang w:val="en-US"/>
              </w:rPr>
              <w:t>Budget in Kshs</w:t>
            </w:r>
          </w:p>
        </w:tc>
      </w:tr>
      <w:tr w14:paraId="255D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494" w:type="dxa"/>
          </w:tcPr>
          <w:p w14:paraId="25038B9A">
            <w:pPr>
              <w:spacing w:after="200" w:line="240" w:lineRule="auto"/>
              <w:jc w:val="both"/>
              <w:rPr>
                <w:rFonts w:ascii="Times New Roman" w:hAnsi="Times New Roman"/>
                <w:sz w:val="20"/>
                <w:szCs w:val="20"/>
              </w:rPr>
            </w:pPr>
            <w:r>
              <w:rPr>
                <w:rFonts w:ascii="Times New Roman" w:hAnsi="Times New Roman"/>
                <w:sz w:val="20"/>
                <w:szCs w:val="20"/>
              </w:rPr>
              <w:t>Construction</w:t>
            </w:r>
          </w:p>
        </w:tc>
        <w:tc>
          <w:tcPr>
            <w:tcW w:w="2394" w:type="dxa"/>
          </w:tcPr>
          <w:p w14:paraId="140F5230">
            <w:pPr>
              <w:spacing w:after="200" w:line="240" w:lineRule="auto"/>
              <w:jc w:val="both"/>
              <w:rPr>
                <w:rFonts w:ascii="Times New Roman" w:hAnsi="Times New Roman"/>
                <w:sz w:val="20"/>
                <w:szCs w:val="20"/>
              </w:rPr>
            </w:pPr>
            <w:r>
              <w:rPr>
                <w:rFonts w:ascii="Times New Roman" w:hAnsi="Times New Roman"/>
                <w:sz w:val="20"/>
                <w:szCs w:val="20"/>
              </w:rPr>
              <w:t>Site Related Oil Spills</w:t>
            </w:r>
          </w:p>
        </w:tc>
        <w:tc>
          <w:tcPr>
            <w:tcW w:w="2767" w:type="dxa"/>
          </w:tcPr>
          <w:p w14:paraId="2AD0BA9B">
            <w:pPr>
              <w:spacing w:after="200" w:line="240" w:lineRule="auto"/>
              <w:jc w:val="both"/>
              <w:rPr>
                <w:rFonts w:ascii="Times New Roman" w:hAnsi="Times New Roman"/>
                <w:sz w:val="20"/>
                <w:szCs w:val="20"/>
              </w:rPr>
            </w:pPr>
            <w:r>
              <w:rPr>
                <w:rFonts w:ascii="Times New Roman" w:hAnsi="Times New Roman"/>
                <w:sz w:val="20"/>
                <w:szCs w:val="20"/>
              </w:rPr>
              <w:t>Number of spill incidents reported,</w:t>
            </w:r>
          </w:p>
          <w:p w14:paraId="24938482">
            <w:pPr>
              <w:spacing w:after="200" w:line="240" w:lineRule="auto"/>
              <w:jc w:val="both"/>
              <w:rPr>
                <w:rFonts w:ascii="Times New Roman" w:hAnsi="Times New Roman"/>
                <w:sz w:val="20"/>
                <w:szCs w:val="20"/>
              </w:rPr>
            </w:pPr>
            <w:r>
              <w:rPr>
                <w:rFonts w:ascii="Times New Roman" w:hAnsi="Times New Roman"/>
                <w:sz w:val="20"/>
                <w:szCs w:val="20"/>
              </w:rPr>
              <w:t>mitigation measures taken</w:t>
            </w:r>
          </w:p>
        </w:tc>
        <w:tc>
          <w:tcPr>
            <w:tcW w:w="3566" w:type="dxa"/>
          </w:tcPr>
          <w:p w14:paraId="4A4F2B8B">
            <w:pPr>
              <w:pStyle w:val="32"/>
              <w:numPr>
                <w:ilvl w:val="0"/>
                <w:numId w:val="5"/>
              </w:numPr>
              <w:spacing w:after="0" w:line="240" w:lineRule="auto"/>
              <w:jc w:val="both"/>
              <w:rPr>
                <w:rFonts w:ascii="Times New Roman" w:hAnsi="Times New Roman"/>
                <w:sz w:val="20"/>
                <w:szCs w:val="20"/>
              </w:rPr>
            </w:pPr>
            <w:r>
              <w:rPr>
                <w:rFonts w:ascii="Times New Roman" w:hAnsi="Times New Roman"/>
                <w:sz w:val="20"/>
                <w:szCs w:val="20"/>
              </w:rPr>
              <w:t>Use of spill kits</w:t>
            </w:r>
          </w:p>
          <w:p w14:paraId="5A4655CD">
            <w:pPr>
              <w:pStyle w:val="32"/>
              <w:numPr>
                <w:ilvl w:val="0"/>
                <w:numId w:val="5"/>
              </w:numPr>
              <w:spacing w:after="0" w:line="240" w:lineRule="auto"/>
              <w:jc w:val="both"/>
              <w:rPr>
                <w:rFonts w:ascii="Times New Roman" w:hAnsi="Times New Roman"/>
                <w:sz w:val="20"/>
                <w:szCs w:val="20"/>
              </w:rPr>
            </w:pPr>
            <w:r>
              <w:rPr>
                <w:rFonts w:ascii="Times New Roman" w:hAnsi="Times New Roman"/>
                <w:sz w:val="20"/>
                <w:szCs w:val="20"/>
              </w:rPr>
              <w:t>Regular maintenance of machinery</w:t>
            </w:r>
          </w:p>
          <w:p w14:paraId="57567F4D">
            <w:pPr>
              <w:pStyle w:val="32"/>
              <w:numPr>
                <w:ilvl w:val="0"/>
                <w:numId w:val="5"/>
              </w:numPr>
              <w:spacing w:after="0" w:line="240" w:lineRule="auto"/>
              <w:jc w:val="both"/>
              <w:rPr>
                <w:rFonts w:ascii="Times New Roman" w:hAnsi="Times New Roman"/>
                <w:sz w:val="20"/>
                <w:szCs w:val="20"/>
              </w:rPr>
            </w:pPr>
            <w:r>
              <w:rPr>
                <w:rFonts w:ascii="Times New Roman" w:hAnsi="Times New Roman"/>
                <w:sz w:val="20"/>
                <w:szCs w:val="20"/>
              </w:rPr>
              <w:t>Secondary containment systems, staff training on spill response</w:t>
            </w:r>
          </w:p>
        </w:tc>
        <w:tc>
          <w:tcPr>
            <w:tcW w:w="1166" w:type="dxa"/>
          </w:tcPr>
          <w:p w14:paraId="2C5E810B">
            <w:pPr>
              <w:spacing w:after="200" w:line="240" w:lineRule="auto"/>
              <w:jc w:val="both"/>
              <w:rPr>
                <w:rFonts w:ascii="Times New Roman" w:hAnsi="Times New Roman"/>
                <w:sz w:val="20"/>
                <w:szCs w:val="20"/>
              </w:rPr>
            </w:pPr>
            <w:r>
              <w:rPr>
                <w:rFonts w:ascii="Times New Roman" w:hAnsi="Times New Roman"/>
                <w:sz w:val="20"/>
                <w:szCs w:val="20"/>
              </w:rPr>
              <w:t>Monthly</w:t>
            </w:r>
          </w:p>
        </w:tc>
        <w:tc>
          <w:tcPr>
            <w:tcW w:w="1500" w:type="dxa"/>
          </w:tcPr>
          <w:p w14:paraId="40895531">
            <w:pPr>
              <w:spacing w:after="0" w:line="240" w:lineRule="auto"/>
              <w:jc w:val="both"/>
              <w:rPr>
                <w:rFonts w:ascii="Times New Roman" w:hAnsi="Times New Roman"/>
                <w:sz w:val="20"/>
                <w:szCs w:val="20"/>
              </w:rPr>
            </w:pPr>
            <w:r>
              <w:rPr>
                <w:rFonts w:ascii="Times New Roman" w:hAnsi="Times New Roman"/>
                <w:sz w:val="20"/>
                <w:szCs w:val="20"/>
              </w:rPr>
              <w:t xml:space="preserve">Contractor </w:t>
            </w:r>
          </w:p>
          <w:p w14:paraId="6F961C9A">
            <w:pPr>
              <w:spacing w:after="0" w:line="240" w:lineRule="auto"/>
              <w:jc w:val="both"/>
              <w:rPr>
                <w:rFonts w:ascii="Times New Roman" w:hAnsi="Times New Roman"/>
                <w:sz w:val="20"/>
                <w:szCs w:val="20"/>
              </w:rPr>
            </w:pPr>
            <w:r>
              <w:rPr>
                <w:rFonts w:ascii="Times New Roman" w:hAnsi="Times New Roman"/>
                <w:sz w:val="20"/>
                <w:szCs w:val="20"/>
              </w:rPr>
              <w:t>Site Supervisor</w:t>
            </w:r>
          </w:p>
        </w:tc>
        <w:tc>
          <w:tcPr>
            <w:tcW w:w="1500" w:type="dxa"/>
          </w:tcPr>
          <w:p w14:paraId="6CD43E0C">
            <w:pPr>
              <w:spacing w:after="0" w:line="240" w:lineRule="auto"/>
              <w:jc w:val="both"/>
              <w:rPr>
                <w:rFonts w:ascii="Times New Roman" w:hAnsi="Times New Roman"/>
                <w:sz w:val="20"/>
                <w:szCs w:val="20"/>
              </w:rPr>
            </w:pPr>
            <w:r>
              <w:rPr>
                <w:rFonts w:ascii="Times New Roman" w:hAnsi="Times New Roman"/>
                <w:b/>
                <w:bCs/>
                <w:sz w:val="20"/>
                <w:szCs w:val="20"/>
                <w:lang w:val="en-US"/>
              </w:rPr>
              <w:t>45,850</w:t>
            </w:r>
            <w:r>
              <w:rPr>
                <w:rFonts w:ascii="Times New Roman" w:hAnsi="Times New Roman"/>
                <w:sz w:val="20"/>
                <w:szCs w:val="20"/>
                <w:lang w:val="en-US"/>
              </w:rPr>
              <w:t xml:space="preserve"> to cater for the safety training seminars for </w:t>
            </w:r>
            <w:r>
              <w:rPr>
                <w:rFonts w:ascii="Times New Roman" w:hAnsi="Times New Roman"/>
                <w:sz w:val="20"/>
                <w:szCs w:val="20"/>
              </w:rPr>
              <w:t>this</w:t>
            </w:r>
            <w:r>
              <w:rPr>
                <w:rFonts w:ascii="Times New Roman" w:hAnsi="Times New Roman"/>
                <w:sz w:val="20"/>
                <w:szCs w:val="20"/>
                <w:lang w:val="en-US"/>
              </w:rPr>
              <w:t xml:space="preserve"> site</w:t>
            </w:r>
          </w:p>
        </w:tc>
      </w:tr>
      <w:tr w14:paraId="2978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494" w:type="dxa"/>
          </w:tcPr>
          <w:p w14:paraId="068043B8">
            <w:pPr>
              <w:spacing w:after="200" w:line="240" w:lineRule="auto"/>
              <w:jc w:val="both"/>
              <w:rPr>
                <w:rFonts w:ascii="Times New Roman" w:hAnsi="Times New Roman"/>
                <w:sz w:val="20"/>
                <w:szCs w:val="20"/>
              </w:rPr>
            </w:pPr>
            <w:r>
              <w:rPr>
                <w:rFonts w:ascii="Times New Roman" w:hAnsi="Times New Roman"/>
                <w:sz w:val="20"/>
                <w:szCs w:val="20"/>
              </w:rPr>
              <w:t>Construction</w:t>
            </w:r>
          </w:p>
        </w:tc>
        <w:tc>
          <w:tcPr>
            <w:tcW w:w="2394" w:type="dxa"/>
          </w:tcPr>
          <w:p w14:paraId="01B2B06E">
            <w:pPr>
              <w:spacing w:after="200" w:line="240" w:lineRule="auto"/>
              <w:jc w:val="both"/>
              <w:rPr>
                <w:rFonts w:ascii="Times New Roman" w:hAnsi="Times New Roman"/>
                <w:sz w:val="20"/>
                <w:szCs w:val="20"/>
              </w:rPr>
            </w:pPr>
            <w:r>
              <w:rPr>
                <w:rFonts w:ascii="Times New Roman" w:hAnsi="Times New Roman"/>
                <w:sz w:val="20"/>
                <w:szCs w:val="20"/>
              </w:rPr>
              <w:t>Soil Related Impacts</w:t>
            </w:r>
          </w:p>
        </w:tc>
        <w:tc>
          <w:tcPr>
            <w:tcW w:w="2767" w:type="dxa"/>
          </w:tcPr>
          <w:p w14:paraId="3F27237C">
            <w:pPr>
              <w:spacing w:after="200" w:line="240" w:lineRule="auto"/>
              <w:jc w:val="both"/>
              <w:rPr>
                <w:rFonts w:ascii="Times New Roman" w:hAnsi="Times New Roman"/>
                <w:sz w:val="20"/>
                <w:szCs w:val="20"/>
              </w:rPr>
            </w:pPr>
            <w:r>
              <w:rPr>
                <w:rFonts w:ascii="Times New Roman" w:hAnsi="Times New Roman"/>
                <w:sz w:val="20"/>
                <w:szCs w:val="20"/>
              </w:rPr>
              <w:t>Soil contamination tests, visible soil degradation observations</w:t>
            </w:r>
          </w:p>
        </w:tc>
        <w:tc>
          <w:tcPr>
            <w:tcW w:w="3566" w:type="dxa"/>
          </w:tcPr>
          <w:p w14:paraId="5B891660">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Proper waste disposal</w:t>
            </w:r>
          </w:p>
          <w:p w14:paraId="352C58E9">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Containment measures for hazardous materials</w:t>
            </w:r>
          </w:p>
          <w:p w14:paraId="015BBC0A">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Soil stabilization techniques</w:t>
            </w:r>
          </w:p>
          <w:p w14:paraId="3749737F">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Regular site inspections</w:t>
            </w:r>
          </w:p>
        </w:tc>
        <w:tc>
          <w:tcPr>
            <w:tcW w:w="1166" w:type="dxa"/>
          </w:tcPr>
          <w:p w14:paraId="17E09AE5">
            <w:pPr>
              <w:spacing w:after="200" w:line="240" w:lineRule="auto"/>
              <w:jc w:val="both"/>
              <w:rPr>
                <w:rFonts w:ascii="Times New Roman" w:hAnsi="Times New Roman"/>
                <w:sz w:val="20"/>
                <w:szCs w:val="20"/>
              </w:rPr>
            </w:pPr>
            <w:r>
              <w:rPr>
                <w:rFonts w:ascii="Times New Roman" w:hAnsi="Times New Roman"/>
                <w:sz w:val="20"/>
                <w:szCs w:val="20"/>
              </w:rPr>
              <w:t>Quarterly</w:t>
            </w:r>
          </w:p>
        </w:tc>
        <w:tc>
          <w:tcPr>
            <w:tcW w:w="1500" w:type="dxa"/>
          </w:tcPr>
          <w:p w14:paraId="1EA2F446">
            <w:pPr>
              <w:spacing w:after="0" w:line="240" w:lineRule="auto"/>
              <w:jc w:val="both"/>
              <w:rPr>
                <w:rFonts w:ascii="Times New Roman" w:hAnsi="Times New Roman"/>
                <w:sz w:val="20"/>
                <w:szCs w:val="20"/>
              </w:rPr>
            </w:pPr>
            <w:r>
              <w:rPr>
                <w:rFonts w:ascii="Times New Roman" w:hAnsi="Times New Roman"/>
                <w:sz w:val="20"/>
                <w:szCs w:val="20"/>
              </w:rPr>
              <w:t xml:space="preserve">Contractor </w:t>
            </w:r>
          </w:p>
          <w:p w14:paraId="6C81D3EE">
            <w:pPr>
              <w:spacing w:after="0" w:line="240" w:lineRule="auto"/>
              <w:jc w:val="both"/>
              <w:rPr>
                <w:rFonts w:ascii="Times New Roman" w:hAnsi="Times New Roman"/>
                <w:sz w:val="20"/>
                <w:szCs w:val="20"/>
              </w:rPr>
            </w:pPr>
            <w:r>
              <w:rPr>
                <w:rFonts w:ascii="Times New Roman" w:hAnsi="Times New Roman"/>
                <w:sz w:val="20"/>
                <w:szCs w:val="20"/>
              </w:rPr>
              <w:t>Resident Engineer</w:t>
            </w:r>
          </w:p>
        </w:tc>
        <w:tc>
          <w:tcPr>
            <w:tcW w:w="1500" w:type="dxa"/>
          </w:tcPr>
          <w:p w14:paraId="4BAC3BA2">
            <w:pPr>
              <w:spacing w:after="0" w:line="240" w:lineRule="auto"/>
              <w:jc w:val="both"/>
              <w:rPr>
                <w:rFonts w:ascii="Times New Roman" w:hAnsi="Times New Roman"/>
                <w:sz w:val="20"/>
                <w:szCs w:val="20"/>
              </w:rPr>
            </w:pPr>
            <w:r>
              <w:rPr>
                <w:rFonts w:ascii="Times New Roman" w:hAnsi="Times New Roman"/>
                <w:sz w:val="20"/>
                <w:szCs w:val="20"/>
              </w:rPr>
              <w:t>Kshs 12,500 to cater for accidental oil spills and tests on soil to ensure compliance</w:t>
            </w:r>
          </w:p>
        </w:tc>
      </w:tr>
      <w:tr w14:paraId="6BF4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494" w:type="dxa"/>
          </w:tcPr>
          <w:p w14:paraId="1366715F">
            <w:pPr>
              <w:spacing w:after="200" w:line="240" w:lineRule="auto"/>
              <w:jc w:val="both"/>
              <w:rPr>
                <w:rFonts w:ascii="Times New Roman" w:hAnsi="Times New Roman"/>
                <w:sz w:val="20"/>
                <w:szCs w:val="20"/>
              </w:rPr>
            </w:pPr>
            <w:r>
              <w:rPr>
                <w:rFonts w:ascii="Times New Roman" w:hAnsi="Times New Roman"/>
                <w:sz w:val="20"/>
                <w:szCs w:val="20"/>
              </w:rPr>
              <w:t>Construction</w:t>
            </w:r>
          </w:p>
        </w:tc>
        <w:tc>
          <w:tcPr>
            <w:tcW w:w="2394" w:type="dxa"/>
          </w:tcPr>
          <w:p w14:paraId="5C17F232">
            <w:pPr>
              <w:spacing w:after="200" w:line="240" w:lineRule="auto"/>
              <w:jc w:val="both"/>
              <w:rPr>
                <w:rFonts w:ascii="Times New Roman" w:hAnsi="Times New Roman"/>
                <w:sz w:val="20"/>
                <w:szCs w:val="20"/>
              </w:rPr>
            </w:pPr>
            <w:r>
              <w:rPr>
                <w:rFonts w:ascii="Times New Roman" w:hAnsi="Times New Roman"/>
                <w:sz w:val="20"/>
                <w:szCs w:val="20"/>
              </w:rPr>
              <w:t>Air Quality</w:t>
            </w:r>
          </w:p>
        </w:tc>
        <w:tc>
          <w:tcPr>
            <w:tcW w:w="2767" w:type="dxa"/>
          </w:tcPr>
          <w:p w14:paraId="1DB35A35">
            <w:pPr>
              <w:spacing w:after="200" w:line="240" w:lineRule="auto"/>
              <w:jc w:val="both"/>
              <w:rPr>
                <w:rFonts w:ascii="Times New Roman" w:hAnsi="Times New Roman"/>
                <w:sz w:val="20"/>
                <w:szCs w:val="20"/>
              </w:rPr>
            </w:pPr>
            <w:r>
              <w:rPr>
                <w:rFonts w:ascii="Times New Roman" w:hAnsi="Times New Roman"/>
                <w:sz w:val="20"/>
                <w:szCs w:val="20"/>
              </w:rPr>
              <w:t>Dust levels, emissions readings, community complaints</w:t>
            </w:r>
          </w:p>
        </w:tc>
        <w:tc>
          <w:tcPr>
            <w:tcW w:w="3566" w:type="dxa"/>
          </w:tcPr>
          <w:p w14:paraId="04986844">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Water sprinkling, </w:t>
            </w:r>
          </w:p>
          <w:p w14:paraId="65E4B757">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Regular maintenance of vehicles and machinery </w:t>
            </w:r>
          </w:p>
          <w:p w14:paraId="125A7F1E">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Use of low-emission equipment</w:t>
            </w:r>
          </w:p>
          <w:p w14:paraId="34CB54B3">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Dust screens</w:t>
            </w:r>
          </w:p>
        </w:tc>
        <w:tc>
          <w:tcPr>
            <w:tcW w:w="1166" w:type="dxa"/>
          </w:tcPr>
          <w:p w14:paraId="777D36B5">
            <w:pPr>
              <w:spacing w:after="200" w:line="240" w:lineRule="auto"/>
              <w:jc w:val="both"/>
              <w:rPr>
                <w:rFonts w:ascii="Times New Roman" w:hAnsi="Times New Roman"/>
                <w:sz w:val="20"/>
                <w:szCs w:val="20"/>
              </w:rPr>
            </w:pPr>
            <w:r>
              <w:rPr>
                <w:rFonts w:ascii="Times New Roman" w:hAnsi="Times New Roman"/>
                <w:sz w:val="20"/>
                <w:szCs w:val="20"/>
              </w:rPr>
              <w:t>weekly</w:t>
            </w:r>
          </w:p>
        </w:tc>
        <w:tc>
          <w:tcPr>
            <w:tcW w:w="1500" w:type="dxa"/>
          </w:tcPr>
          <w:p w14:paraId="19A8BC3C">
            <w:pPr>
              <w:spacing w:after="0" w:line="240" w:lineRule="auto"/>
              <w:jc w:val="both"/>
              <w:rPr>
                <w:rFonts w:ascii="Times New Roman" w:hAnsi="Times New Roman"/>
                <w:sz w:val="20"/>
                <w:szCs w:val="20"/>
              </w:rPr>
            </w:pPr>
            <w:r>
              <w:rPr>
                <w:rFonts w:ascii="Times New Roman" w:hAnsi="Times New Roman"/>
                <w:sz w:val="20"/>
                <w:szCs w:val="20"/>
              </w:rPr>
              <w:t xml:space="preserve">Contractor </w:t>
            </w:r>
          </w:p>
          <w:p w14:paraId="794A14A6">
            <w:pPr>
              <w:spacing w:after="0" w:line="240" w:lineRule="auto"/>
              <w:jc w:val="both"/>
              <w:rPr>
                <w:rFonts w:ascii="Times New Roman" w:hAnsi="Times New Roman"/>
                <w:sz w:val="20"/>
                <w:szCs w:val="20"/>
              </w:rPr>
            </w:pPr>
            <w:r>
              <w:rPr>
                <w:rFonts w:ascii="Times New Roman" w:hAnsi="Times New Roman"/>
                <w:sz w:val="20"/>
                <w:szCs w:val="20"/>
              </w:rPr>
              <w:t xml:space="preserve">Resident engineer </w:t>
            </w:r>
          </w:p>
        </w:tc>
        <w:tc>
          <w:tcPr>
            <w:tcW w:w="1500" w:type="dxa"/>
          </w:tcPr>
          <w:p w14:paraId="41443335">
            <w:pPr>
              <w:spacing w:after="0" w:line="240" w:lineRule="auto"/>
              <w:jc w:val="both"/>
              <w:rPr>
                <w:rFonts w:ascii="Times New Roman" w:hAnsi="Times New Roman"/>
                <w:sz w:val="20"/>
                <w:szCs w:val="20"/>
              </w:rPr>
            </w:pPr>
            <w:r>
              <w:rPr>
                <w:rFonts w:ascii="Times New Roman" w:hAnsi="Times New Roman"/>
                <w:b/>
                <w:sz w:val="20"/>
                <w:szCs w:val="20"/>
              </w:rPr>
              <w:t>Kshs.5,000</w:t>
            </w:r>
            <w:r>
              <w:rPr>
                <w:rFonts w:ascii="Times New Roman" w:hAnsi="Times New Roman"/>
                <w:sz w:val="20"/>
                <w:szCs w:val="20"/>
              </w:rPr>
              <w:t xml:space="preserve">  to cater for dust masks </w:t>
            </w:r>
          </w:p>
          <w:p w14:paraId="2A070FC1">
            <w:pPr>
              <w:spacing w:after="0" w:line="240" w:lineRule="auto"/>
              <w:jc w:val="both"/>
              <w:rPr>
                <w:rFonts w:ascii="Times New Roman" w:hAnsi="Times New Roman"/>
                <w:sz w:val="20"/>
                <w:szCs w:val="20"/>
              </w:rPr>
            </w:pPr>
            <w:r>
              <w:rPr>
                <w:rFonts w:ascii="Times New Roman" w:hAnsi="Times New Roman"/>
                <w:sz w:val="20"/>
                <w:szCs w:val="20"/>
              </w:rPr>
              <w:t xml:space="preserve">Kshs </w:t>
            </w:r>
            <w:r>
              <w:rPr>
                <w:rFonts w:ascii="Times New Roman" w:hAnsi="Times New Roman"/>
                <w:b/>
                <w:bCs/>
                <w:sz w:val="20"/>
                <w:szCs w:val="20"/>
              </w:rPr>
              <w:t>12,400</w:t>
            </w:r>
            <w:r>
              <w:rPr>
                <w:rFonts w:ascii="Times New Roman" w:hAnsi="Times New Roman"/>
                <w:sz w:val="20"/>
                <w:szCs w:val="20"/>
              </w:rPr>
              <w:t xml:space="preserve"> for spraying water</w:t>
            </w:r>
          </w:p>
        </w:tc>
      </w:tr>
      <w:tr w14:paraId="631D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494" w:type="dxa"/>
          </w:tcPr>
          <w:p w14:paraId="10375CFA">
            <w:pPr>
              <w:spacing w:after="200" w:line="240" w:lineRule="auto"/>
              <w:jc w:val="both"/>
              <w:rPr>
                <w:rFonts w:ascii="Times New Roman" w:hAnsi="Times New Roman"/>
                <w:sz w:val="20"/>
                <w:szCs w:val="20"/>
              </w:rPr>
            </w:pPr>
            <w:r>
              <w:rPr>
                <w:rFonts w:ascii="Times New Roman" w:hAnsi="Times New Roman"/>
                <w:sz w:val="20"/>
                <w:szCs w:val="20"/>
              </w:rPr>
              <w:t>Construction</w:t>
            </w:r>
          </w:p>
        </w:tc>
        <w:tc>
          <w:tcPr>
            <w:tcW w:w="2394" w:type="dxa"/>
          </w:tcPr>
          <w:p w14:paraId="36F68DE8">
            <w:pPr>
              <w:spacing w:after="200" w:line="240" w:lineRule="auto"/>
              <w:jc w:val="both"/>
              <w:rPr>
                <w:rFonts w:ascii="Times New Roman" w:hAnsi="Times New Roman"/>
                <w:sz w:val="20"/>
                <w:szCs w:val="20"/>
              </w:rPr>
            </w:pPr>
            <w:r>
              <w:rPr>
                <w:rFonts w:ascii="Times New Roman" w:hAnsi="Times New Roman"/>
                <w:sz w:val="20"/>
                <w:szCs w:val="20"/>
              </w:rPr>
              <w:t>Noise Pollution</w:t>
            </w:r>
          </w:p>
        </w:tc>
        <w:tc>
          <w:tcPr>
            <w:tcW w:w="2767" w:type="dxa"/>
          </w:tcPr>
          <w:p w14:paraId="2BAEC1C4">
            <w:pPr>
              <w:spacing w:after="200" w:line="240" w:lineRule="auto"/>
              <w:jc w:val="both"/>
              <w:rPr>
                <w:rFonts w:ascii="Times New Roman" w:hAnsi="Times New Roman"/>
                <w:sz w:val="20"/>
                <w:szCs w:val="20"/>
              </w:rPr>
            </w:pPr>
            <w:r>
              <w:rPr>
                <w:rFonts w:ascii="Times New Roman" w:hAnsi="Times New Roman"/>
                <w:sz w:val="20"/>
                <w:szCs w:val="20"/>
              </w:rPr>
              <w:t>Noise level readings, worker/community complaints</w:t>
            </w:r>
          </w:p>
        </w:tc>
        <w:tc>
          <w:tcPr>
            <w:tcW w:w="3566" w:type="dxa"/>
          </w:tcPr>
          <w:p w14:paraId="6A4C56CA">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Noise barriers</w:t>
            </w:r>
          </w:p>
          <w:p w14:paraId="0DAA7461">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Scheduling noisy activities during the day</w:t>
            </w:r>
          </w:p>
          <w:p w14:paraId="5F3F5D6A">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Regular equipment maintenance</w:t>
            </w:r>
          </w:p>
          <w:p w14:paraId="1CEFA3D8">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Provision of ear protection for workers</w:t>
            </w:r>
          </w:p>
        </w:tc>
        <w:tc>
          <w:tcPr>
            <w:tcW w:w="1166" w:type="dxa"/>
          </w:tcPr>
          <w:p w14:paraId="306D645F">
            <w:pPr>
              <w:spacing w:after="200" w:line="240" w:lineRule="auto"/>
              <w:jc w:val="both"/>
              <w:rPr>
                <w:rFonts w:ascii="Times New Roman" w:hAnsi="Times New Roman"/>
                <w:sz w:val="20"/>
                <w:szCs w:val="20"/>
              </w:rPr>
            </w:pPr>
            <w:r>
              <w:rPr>
                <w:rFonts w:ascii="Times New Roman" w:hAnsi="Times New Roman"/>
                <w:sz w:val="20"/>
                <w:szCs w:val="20"/>
              </w:rPr>
              <w:t>Weekly</w:t>
            </w:r>
          </w:p>
        </w:tc>
        <w:tc>
          <w:tcPr>
            <w:tcW w:w="1500" w:type="dxa"/>
          </w:tcPr>
          <w:p w14:paraId="6FB04E40">
            <w:pPr>
              <w:spacing w:after="0" w:line="240" w:lineRule="auto"/>
              <w:jc w:val="both"/>
              <w:rPr>
                <w:rFonts w:ascii="Times New Roman" w:hAnsi="Times New Roman"/>
                <w:sz w:val="20"/>
                <w:szCs w:val="20"/>
              </w:rPr>
            </w:pPr>
            <w:r>
              <w:rPr>
                <w:rFonts w:ascii="Times New Roman" w:hAnsi="Times New Roman"/>
                <w:sz w:val="20"/>
                <w:szCs w:val="20"/>
              </w:rPr>
              <w:t>Contractor</w:t>
            </w:r>
          </w:p>
          <w:p w14:paraId="59B6E0DD">
            <w:pPr>
              <w:spacing w:after="0" w:line="240" w:lineRule="auto"/>
              <w:jc w:val="both"/>
              <w:rPr>
                <w:rFonts w:ascii="Times New Roman" w:hAnsi="Times New Roman"/>
                <w:sz w:val="20"/>
                <w:szCs w:val="20"/>
              </w:rPr>
            </w:pPr>
            <w:r>
              <w:rPr>
                <w:rFonts w:ascii="Times New Roman" w:hAnsi="Times New Roman"/>
                <w:sz w:val="20"/>
                <w:szCs w:val="20"/>
              </w:rPr>
              <w:t>Site Supervisor</w:t>
            </w:r>
          </w:p>
        </w:tc>
        <w:tc>
          <w:tcPr>
            <w:tcW w:w="1500" w:type="dxa"/>
          </w:tcPr>
          <w:p w14:paraId="57DD629D">
            <w:pPr>
              <w:spacing w:after="0" w:line="240" w:lineRule="auto"/>
              <w:jc w:val="both"/>
              <w:rPr>
                <w:rFonts w:ascii="Times New Roman" w:hAnsi="Times New Roman"/>
                <w:sz w:val="20"/>
                <w:szCs w:val="20"/>
              </w:rPr>
            </w:pPr>
            <w:r>
              <w:rPr>
                <w:rFonts w:ascii="Times New Roman" w:hAnsi="Times New Roman"/>
                <w:sz w:val="20"/>
                <w:szCs w:val="20"/>
              </w:rPr>
              <w:t>No additional costs</w:t>
            </w:r>
          </w:p>
        </w:tc>
      </w:tr>
      <w:tr w14:paraId="665E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494" w:type="dxa"/>
          </w:tcPr>
          <w:p w14:paraId="6B1046B0">
            <w:pPr>
              <w:spacing w:after="200" w:line="240" w:lineRule="auto"/>
              <w:jc w:val="both"/>
              <w:rPr>
                <w:rFonts w:ascii="Times New Roman" w:hAnsi="Times New Roman"/>
                <w:sz w:val="20"/>
                <w:szCs w:val="20"/>
              </w:rPr>
            </w:pPr>
            <w:r>
              <w:rPr>
                <w:rFonts w:ascii="Times New Roman" w:hAnsi="Times New Roman"/>
                <w:sz w:val="20"/>
                <w:szCs w:val="20"/>
              </w:rPr>
              <w:t>Construction</w:t>
            </w:r>
          </w:p>
        </w:tc>
        <w:tc>
          <w:tcPr>
            <w:tcW w:w="2394" w:type="dxa"/>
          </w:tcPr>
          <w:p w14:paraId="6A74D09C">
            <w:pPr>
              <w:spacing w:after="200" w:line="240" w:lineRule="auto"/>
              <w:jc w:val="both"/>
              <w:rPr>
                <w:rFonts w:ascii="Times New Roman" w:hAnsi="Times New Roman"/>
                <w:sz w:val="20"/>
                <w:szCs w:val="20"/>
              </w:rPr>
            </w:pPr>
            <w:r>
              <w:rPr>
                <w:rFonts w:ascii="Times New Roman" w:hAnsi="Times New Roman"/>
                <w:sz w:val="20"/>
                <w:szCs w:val="20"/>
              </w:rPr>
              <w:t>Generation of Solid Waste</w:t>
            </w:r>
          </w:p>
        </w:tc>
        <w:tc>
          <w:tcPr>
            <w:tcW w:w="2767" w:type="dxa"/>
          </w:tcPr>
          <w:p w14:paraId="1E73E87C">
            <w:pPr>
              <w:spacing w:after="200" w:line="240" w:lineRule="auto"/>
              <w:jc w:val="both"/>
              <w:rPr>
                <w:rFonts w:ascii="Times New Roman" w:hAnsi="Times New Roman"/>
                <w:sz w:val="20"/>
                <w:szCs w:val="20"/>
              </w:rPr>
            </w:pPr>
            <w:r>
              <w:rPr>
                <w:rFonts w:ascii="Times New Roman" w:hAnsi="Times New Roman"/>
                <w:sz w:val="20"/>
                <w:szCs w:val="20"/>
              </w:rPr>
              <w:t>Volume of waste generated, waste disposal records</w:t>
            </w:r>
          </w:p>
        </w:tc>
        <w:tc>
          <w:tcPr>
            <w:tcW w:w="3566" w:type="dxa"/>
          </w:tcPr>
          <w:p w14:paraId="5FAAA188">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Waste segregation</w:t>
            </w:r>
          </w:p>
          <w:p w14:paraId="3003B8FF">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Recycling</w:t>
            </w:r>
          </w:p>
          <w:p w14:paraId="19DCD945">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Proper disposal at approved sites, </w:t>
            </w:r>
          </w:p>
          <w:p w14:paraId="4887DC3F">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Composting organic waste</w:t>
            </w:r>
          </w:p>
          <w:p w14:paraId="1F192EDC">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Waste reduction strategies</w:t>
            </w:r>
          </w:p>
        </w:tc>
        <w:tc>
          <w:tcPr>
            <w:tcW w:w="1166" w:type="dxa"/>
          </w:tcPr>
          <w:p w14:paraId="24277CD3">
            <w:pPr>
              <w:spacing w:after="200" w:line="240" w:lineRule="auto"/>
              <w:jc w:val="both"/>
              <w:rPr>
                <w:rFonts w:ascii="Times New Roman" w:hAnsi="Times New Roman"/>
                <w:sz w:val="20"/>
                <w:szCs w:val="20"/>
              </w:rPr>
            </w:pPr>
            <w:r>
              <w:rPr>
                <w:rFonts w:ascii="Times New Roman" w:hAnsi="Times New Roman"/>
                <w:sz w:val="20"/>
                <w:szCs w:val="20"/>
              </w:rPr>
              <w:t>Weekly</w:t>
            </w:r>
          </w:p>
        </w:tc>
        <w:tc>
          <w:tcPr>
            <w:tcW w:w="1500" w:type="dxa"/>
          </w:tcPr>
          <w:p w14:paraId="19EC6865">
            <w:pPr>
              <w:spacing w:after="0" w:line="240" w:lineRule="auto"/>
              <w:jc w:val="both"/>
              <w:rPr>
                <w:rFonts w:ascii="Times New Roman" w:hAnsi="Times New Roman"/>
                <w:sz w:val="20"/>
                <w:szCs w:val="20"/>
              </w:rPr>
            </w:pPr>
            <w:r>
              <w:rPr>
                <w:rFonts w:ascii="Times New Roman" w:hAnsi="Times New Roman"/>
                <w:sz w:val="20"/>
                <w:szCs w:val="20"/>
              </w:rPr>
              <w:t>Contractor</w:t>
            </w:r>
          </w:p>
          <w:p w14:paraId="1D6DB7F2">
            <w:pPr>
              <w:spacing w:after="0" w:line="240" w:lineRule="auto"/>
              <w:jc w:val="both"/>
              <w:rPr>
                <w:rFonts w:ascii="Times New Roman" w:hAnsi="Times New Roman"/>
                <w:sz w:val="20"/>
                <w:szCs w:val="20"/>
              </w:rPr>
            </w:pPr>
            <w:r>
              <w:rPr>
                <w:rFonts w:ascii="Times New Roman" w:hAnsi="Times New Roman"/>
                <w:sz w:val="20"/>
                <w:szCs w:val="20"/>
              </w:rPr>
              <w:t xml:space="preserve">Resident engineer </w:t>
            </w:r>
          </w:p>
        </w:tc>
        <w:tc>
          <w:tcPr>
            <w:tcW w:w="1500" w:type="dxa"/>
          </w:tcPr>
          <w:p w14:paraId="15367CCF">
            <w:pPr>
              <w:spacing w:after="0" w:line="240" w:lineRule="auto"/>
              <w:jc w:val="both"/>
              <w:rPr>
                <w:rFonts w:ascii="Times New Roman" w:hAnsi="Times New Roman"/>
                <w:sz w:val="20"/>
                <w:szCs w:val="20"/>
              </w:rPr>
            </w:pPr>
          </w:p>
        </w:tc>
      </w:tr>
      <w:tr w14:paraId="23FA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494" w:type="dxa"/>
          </w:tcPr>
          <w:p w14:paraId="5CDFB031">
            <w:pPr>
              <w:spacing w:after="200" w:line="240" w:lineRule="auto"/>
              <w:jc w:val="both"/>
              <w:rPr>
                <w:rFonts w:ascii="Times New Roman" w:hAnsi="Times New Roman"/>
                <w:sz w:val="20"/>
                <w:szCs w:val="20"/>
              </w:rPr>
            </w:pPr>
            <w:r>
              <w:rPr>
                <w:rFonts w:ascii="Times New Roman" w:hAnsi="Times New Roman"/>
                <w:sz w:val="20"/>
                <w:szCs w:val="20"/>
              </w:rPr>
              <w:t>Construction</w:t>
            </w:r>
          </w:p>
        </w:tc>
        <w:tc>
          <w:tcPr>
            <w:tcW w:w="2394" w:type="dxa"/>
          </w:tcPr>
          <w:p w14:paraId="0C7723BE">
            <w:pPr>
              <w:spacing w:after="200" w:line="240" w:lineRule="auto"/>
              <w:jc w:val="both"/>
              <w:rPr>
                <w:rFonts w:ascii="Times New Roman" w:hAnsi="Times New Roman"/>
                <w:sz w:val="20"/>
                <w:szCs w:val="20"/>
              </w:rPr>
            </w:pPr>
            <w:r>
              <w:rPr>
                <w:rFonts w:ascii="Times New Roman" w:hAnsi="Times New Roman"/>
                <w:sz w:val="20"/>
                <w:szCs w:val="20"/>
              </w:rPr>
              <w:t>Traffic Congestion Socio-Economic Impacts</w:t>
            </w:r>
          </w:p>
        </w:tc>
        <w:tc>
          <w:tcPr>
            <w:tcW w:w="2767" w:type="dxa"/>
          </w:tcPr>
          <w:p w14:paraId="51A2DEA1">
            <w:pPr>
              <w:spacing w:after="200" w:line="240" w:lineRule="auto"/>
              <w:jc w:val="both"/>
              <w:rPr>
                <w:rFonts w:ascii="Times New Roman" w:hAnsi="Times New Roman"/>
                <w:sz w:val="20"/>
                <w:szCs w:val="20"/>
              </w:rPr>
            </w:pPr>
            <w:r>
              <w:rPr>
                <w:rFonts w:ascii="Times New Roman" w:hAnsi="Times New Roman"/>
                <w:sz w:val="20"/>
                <w:szCs w:val="20"/>
              </w:rPr>
              <w:t>Delivery schedules, traffic disruption reports</w:t>
            </w:r>
          </w:p>
        </w:tc>
        <w:tc>
          <w:tcPr>
            <w:tcW w:w="3566" w:type="dxa"/>
          </w:tcPr>
          <w:p w14:paraId="70439F93">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Traffic management plans</w:t>
            </w:r>
          </w:p>
          <w:p w14:paraId="6D4DC97A">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Coordination with local authorities</w:t>
            </w:r>
          </w:p>
          <w:p w14:paraId="5C374FEB">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Delivery during off-peak hours</w:t>
            </w:r>
          </w:p>
          <w:p w14:paraId="5101DB4A">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Site access control</w:t>
            </w:r>
          </w:p>
        </w:tc>
        <w:tc>
          <w:tcPr>
            <w:tcW w:w="1166" w:type="dxa"/>
          </w:tcPr>
          <w:p w14:paraId="4F467575">
            <w:pPr>
              <w:spacing w:after="200" w:line="240" w:lineRule="auto"/>
              <w:jc w:val="both"/>
              <w:rPr>
                <w:rFonts w:ascii="Times New Roman" w:hAnsi="Times New Roman"/>
                <w:sz w:val="20"/>
                <w:szCs w:val="20"/>
              </w:rPr>
            </w:pPr>
            <w:r>
              <w:rPr>
                <w:rFonts w:ascii="Times New Roman" w:hAnsi="Times New Roman"/>
                <w:sz w:val="20"/>
                <w:szCs w:val="20"/>
              </w:rPr>
              <w:t>As needed</w:t>
            </w:r>
          </w:p>
        </w:tc>
        <w:tc>
          <w:tcPr>
            <w:tcW w:w="1500" w:type="dxa"/>
          </w:tcPr>
          <w:p w14:paraId="5D14DF98">
            <w:pPr>
              <w:spacing w:after="200" w:line="240" w:lineRule="auto"/>
              <w:jc w:val="both"/>
              <w:rPr>
                <w:rFonts w:ascii="Times New Roman" w:hAnsi="Times New Roman"/>
                <w:sz w:val="20"/>
                <w:szCs w:val="20"/>
              </w:rPr>
            </w:pPr>
            <w:r>
              <w:rPr>
                <w:rFonts w:ascii="Times New Roman" w:hAnsi="Times New Roman"/>
                <w:sz w:val="20"/>
                <w:szCs w:val="20"/>
              </w:rPr>
              <w:t>Contractor</w:t>
            </w:r>
          </w:p>
        </w:tc>
        <w:tc>
          <w:tcPr>
            <w:tcW w:w="1500" w:type="dxa"/>
          </w:tcPr>
          <w:p w14:paraId="04D2BF1C">
            <w:pPr>
              <w:spacing w:after="200" w:line="240" w:lineRule="auto"/>
              <w:jc w:val="both"/>
              <w:rPr>
                <w:rFonts w:ascii="Times New Roman" w:hAnsi="Times New Roman"/>
                <w:sz w:val="20"/>
                <w:szCs w:val="20"/>
              </w:rPr>
            </w:pPr>
            <w:r>
              <w:rPr>
                <w:rFonts w:ascii="Times New Roman" w:hAnsi="Times New Roman"/>
                <w:sz w:val="20"/>
                <w:szCs w:val="20"/>
              </w:rPr>
              <w:t xml:space="preserve">No additional costs </w:t>
            </w:r>
          </w:p>
        </w:tc>
      </w:tr>
      <w:tr w14:paraId="55DF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494" w:type="dxa"/>
          </w:tcPr>
          <w:p w14:paraId="55D2C22E">
            <w:pPr>
              <w:spacing w:after="200" w:line="240" w:lineRule="auto"/>
              <w:jc w:val="both"/>
              <w:rPr>
                <w:rFonts w:ascii="Times New Roman" w:hAnsi="Times New Roman"/>
                <w:sz w:val="20"/>
                <w:szCs w:val="20"/>
              </w:rPr>
            </w:pPr>
            <w:r>
              <w:rPr>
                <w:rFonts w:ascii="Times New Roman" w:hAnsi="Times New Roman"/>
                <w:sz w:val="20"/>
                <w:szCs w:val="20"/>
              </w:rPr>
              <w:t>Construction</w:t>
            </w:r>
          </w:p>
        </w:tc>
        <w:tc>
          <w:tcPr>
            <w:tcW w:w="2394" w:type="dxa"/>
          </w:tcPr>
          <w:p w14:paraId="11704118">
            <w:pPr>
              <w:spacing w:after="200" w:line="240" w:lineRule="auto"/>
              <w:jc w:val="both"/>
              <w:rPr>
                <w:rFonts w:ascii="Times New Roman" w:hAnsi="Times New Roman"/>
                <w:sz w:val="20"/>
                <w:szCs w:val="20"/>
                <w:lang w:val="en-US"/>
              </w:rPr>
            </w:pPr>
            <w:r>
              <w:rPr>
                <w:rFonts w:ascii="Times New Roman" w:hAnsi="Times New Roman"/>
                <w:sz w:val="20"/>
                <w:szCs w:val="20"/>
                <w:lang w:val="en-US"/>
              </w:rPr>
              <w:t xml:space="preserve">Occupational Health and Safety </w:t>
            </w:r>
          </w:p>
        </w:tc>
        <w:tc>
          <w:tcPr>
            <w:tcW w:w="2767" w:type="dxa"/>
          </w:tcPr>
          <w:p w14:paraId="1A7DFC27">
            <w:pPr>
              <w:spacing w:after="200" w:line="240" w:lineRule="auto"/>
              <w:jc w:val="both"/>
              <w:rPr>
                <w:rFonts w:ascii="Times New Roman" w:hAnsi="Times New Roman"/>
                <w:sz w:val="20"/>
                <w:szCs w:val="20"/>
              </w:rPr>
            </w:pPr>
            <w:r>
              <w:rPr>
                <w:rFonts w:ascii="Times New Roman" w:hAnsi="Times New Roman"/>
                <w:sz w:val="20"/>
                <w:szCs w:val="20"/>
              </w:rPr>
              <w:t>Number of accidents/injuries, safety training records</w:t>
            </w:r>
          </w:p>
        </w:tc>
        <w:tc>
          <w:tcPr>
            <w:tcW w:w="3566" w:type="dxa"/>
          </w:tcPr>
          <w:p w14:paraId="6E3F341D">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Safety gear i.e. Gumboots, safety boots, reflector jacket, hard hat</w:t>
            </w:r>
          </w:p>
          <w:p w14:paraId="09BF3579">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Regular safety drills, </w:t>
            </w:r>
          </w:p>
          <w:p w14:paraId="07731D08">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First aid stations, </w:t>
            </w:r>
          </w:p>
          <w:p w14:paraId="662D669D">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Clear safety signage</w:t>
            </w:r>
          </w:p>
          <w:p w14:paraId="76C68367">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Emergency response plans</w:t>
            </w:r>
          </w:p>
        </w:tc>
        <w:tc>
          <w:tcPr>
            <w:tcW w:w="1166" w:type="dxa"/>
          </w:tcPr>
          <w:p w14:paraId="38ABF59D">
            <w:pPr>
              <w:spacing w:after="200" w:line="240" w:lineRule="auto"/>
              <w:jc w:val="both"/>
              <w:rPr>
                <w:rFonts w:ascii="Times New Roman" w:hAnsi="Times New Roman"/>
                <w:sz w:val="20"/>
                <w:szCs w:val="20"/>
              </w:rPr>
            </w:pPr>
            <w:r>
              <w:rPr>
                <w:rFonts w:ascii="Times New Roman" w:hAnsi="Times New Roman"/>
                <w:sz w:val="20"/>
                <w:szCs w:val="20"/>
              </w:rPr>
              <w:t>Monthly</w:t>
            </w:r>
          </w:p>
        </w:tc>
        <w:tc>
          <w:tcPr>
            <w:tcW w:w="1500" w:type="dxa"/>
          </w:tcPr>
          <w:p w14:paraId="37FA50CB">
            <w:pPr>
              <w:spacing w:after="0" w:line="240" w:lineRule="auto"/>
              <w:jc w:val="both"/>
              <w:rPr>
                <w:rFonts w:ascii="Times New Roman" w:hAnsi="Times New Roman"/>
                <w:sz w:val="20"/>
                <w:szCs w:val="20"/>
              </w:rPr>
            </w:pPr>
            <w:r>
              <w:rPr>
                <w:rFonts w:ascii="Times New Roman" w:hAnsi="Times New Roman"/>
                <w:sz w:val="20"/>
                <w:szCs w:val="20"/>
              </w:rPr>
              <w:t>Contractor</w:t>
            </w:r>
          </w:p>
          <w:p w14:paraId="18FA3D89">
            <w:pPr>
              <w:spacing w:after="0" w:line="240" w:lineRule="auto"/>
              <w:jc w:val="both"/>
              <w:rPr>
                <w:rFonts w:ascii="Times New Roman" w:hAnsi="Times New Roman"/>
                <w:sz w:val="20"/>
                <w:szCs w:val="20"/>
              </w:rPr>
            </w:pPr>
            <w:r>
              <w:rPr>
                <w:rFonts w:ascii="Times New Roman" w:hAnsi="Times New Roman"/>
                <w:sz w:val="20"/>
                <w:szCs w:val="20"/>
              </w:rPr>
              <w:t>Resident engineer</w:t>
            </w:r>
          </w:p>
          <w:p w14:paraId="531776AD">
            <w:pPr>
              <w:spacing w:after="200" w:line="240" w:lineRule="auto"/>
              <w:jc w:val="both"/>
              <w:rPr>
                <w:rFonts w:ascii="Times New Roman" w:hAnsi="Times New Roman"/>
                <w:sz w:val="20"/>
                <w:szCs w:val="20"/>
              </w:rPr>
            </w:pPr>
          </w:p>
        </w:tc>
        <w:tc>
          <w:tcPr>
            <w:tcW w:w="1500" w:type="dxa"/>
          </w:tcPr>
          <w:p w14:paraId="4630B6BF">
            <w:pPr>
              <w:spacing w:after="200" w:line="240" w:lineRule="auto"/>
              <w:jc w:val="both"/>
              <w:rPr>
                <w:rFonts w:ascii="Times New Roman" w:hAnsi="Times New Roman"/>
                <w:sz w:val="20"/>
                <w:szCs w:val="20"/>
                <w:lang w:val="en-US"/>
              </w:rPr>
            </w:pPr>
            <w:r>
              <w:rPr>
                <w:rFonts w:ascii="Times New Roman" w:hAnsi="Times New Roman"/>
                <w:b/>
                <w:sz w:val="20"/>
                <w:szCs w:val="20"/>
                <w:lang w:val="en-US"/>
              </w:rPr>
              <w:t>15,000</w:t>
            </w:r>
            <w:r>
              <w:rPr>
                <w:rFonts w:ascii="Times New Roman" w:hAnsi="Times New Roman"/>
                <w:sz w:val="20"/>
                <w:szCs w:val="20"/>
                <w:lang w:val="en-US"/>
              </w:rPr>
              <w:t xml:space="preserve"> for personal protective equipment</w:t>
            </w:r>
          </w:p>
        </w:tc>
      </w:tr>
      <w:tr w14:paraId="3E84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494" w:type="dxa"/>
          </w:tcPr>
          <w:p w14:paraId="7B357AB5">
            <w:pPr>
              <w:spacing w:after="200" w:line="240" w:lineRule="auto"/>
              <w:jc w:val="both"/>
              <w:rPr>
                <w:rFonts w:ascii="Times New Roman" w:hAnsi="Times New Roman"/>
                <w:sz w:val="20"/>
                <w:szCs w:val="20"/>
              </w:rPr>
            </w:pPr>
            <w:r>
              <w:rPr>
                <w:rFonts w:ascii="Times New Roman" w:hAnsi="Times New Roman"/>
                <w:sz w:val="20"/>
                <w:szCs w:val="20"/>
              </w:rPr>
              <w:t>Construction</w:t>
            </w:r>
          </w:p>
        </w:tc>
        <w:tc>
          <w:tcPr>
            <w:tcW w:w="2394" w:type="dxa"/>
          </w:tcPr>
          <w:p w14:paraId="4DB173E7">
            <w:pPr>
              <w:spacing w:after="200" w:line="240" w:lineRule="auto"/>
              <w:jc w:val="both"/>
              <w:rPr>
                <w:rFonts w:ascii="Times New Roman" w:hAnsi="Times New Roman"/>
                <w:sz w:val="20"/>
                <w:szCs w:val="20"/>
              </w:rPr>
            </w:pPr>
            <w:r>
              <w:rPr>
                <w:rFonts w:ascii="Times New Roman" w:hAnsi="Times New Roman"/>
                <w:sz w:val="20"/>
                <w:szCs w:val="20"/>
              </w:rPr>
              <w:t>HIV &amp; AIDS Impacts</w:t>
            </w:r>
          </w:p>
          <w:p w14:paraId="2BB85264">
            <w:pPr>
              <w:spacing w:after="200" w:line="240" w:lineRule="auto"/>
              <w:jc w:val="both"/>
              <w:rPr>
                <w:rFonts w:ascii="Times New Roman" w:hAnsi="Times New Roman"/>
                <w:sz w:val="20"/>
                <w:szCs w:val="20"/>
                <w:lang w:val="en-US"/>
              </w:rPr>
            </w:pPr>
            <w:r>
              <w:rPr>
                <w:rFonts w:ascii="Times New Roman" w:hAnsi="Times New Roman"/>
                <w:sz w:val="20"/>
                <w:szCs w:val="20"/>
                <w:lang w:val="en-US"/>
              </w:rPr>
              <w:t>STIs</w:t>
            </w:r>
          </w:p>
        </w:tc>
        <w:tc>
          <w:tcPr>
            <w:tcW w:w="2767" w:type="dxa"/>
          </w:tcPr>
          <w:p w14:paraId="593D8844">
            <w:pPr>
              <w:spacing w:after="200" w:line="240" w:lineRule="auto"/>
              <w:jc w:val="both"/>
              <w:rPr>
                <w:rFonts w:ascii="Times New Roman" w:hAnsi="Times New Roman"/>
                <w:sz w:val="20"/>
                <w:szCs w:val="20"/>
              </w:rPr>
            </w:pPr>
            <w:r>
              <w:rPr>
                <w:rFonts w:ascii="Times New Roman" w:hAnsi="Times New Roman"/>
                <w:sz w:val="20"/>
                <w:szCs w:val="20"/>
              </w:rPr>
              <w:t>Awareness programs conducted, number of participants</w:t>
            </w:r>
          </w:p>
        </w:tc>
        <w:tc>
          <w:tcPr>
            <w:tcW w:w="3566" w:type="dxa"/>
          </w:tcPr>
          <w:p w14:paraId="28A16C8D">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HIV/AIDS education, </w:t>
            </w:r>
          </w:p>
          <w:p w14:paraId="53CE1A83">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Access to condoms (both male and female) and healthcare,</w:t>
            </w:r>
          </w:p>
          <w:p w14:paraId="24DC03C2">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Peer education programs</w:t>
            </w:r>
          </w:p>
          <w:p w14:paraId="27890018">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 Community outreach</w:t>
            </w:r>
          </w:p>
        </w:tc>
        <w:tc>
          <w:tcPr>
            <w:tcW w:w="1166" w:type="dxa"/>
          </w:tcPr>
          <w:p w14:paraId="4DD571A8">
            <w:pPr>
              <w:spacing w:after="200" w:line="240" w:lineRule="auto"/>
              <w:jc w:val="both"/>
              <w:rPr>
                <w:rFonts w:ascii="Times New Roman" w:hAnsi="Times New Roman"/>
                <w:sz w:val="20"/>
                <w:szCs w:val="20"/>
              </w:rPr>
            </w:pPr>
            <w:r>
              <w:rPr>
                <w:rFonts w:ascii="Times New Roman" w:hAnsi="Times New Roman"/>
                <w:sz w:val="20"/>
                <w:szCs w:val="20"/>
              </w:rPr>
              <w:t>Quarterly</w:t>
            </w:r>
          </w:p>
        </w:tc>
        <w:tc>
          <w:tcPr>
            <w:tcW w:w="1500" w:type="dxa"/>
          </w:tcPr>
          <w:p w14:paraId="10762B2D">
            <w:pPr>
              <w:spacing w:after="0" w:line="240" w:lineRule="auto"/>
              <w:jc w:val="both"/>
              <w:rPr>
                <w:rFonts w:ascii="Times New Roman" w:hAnsi="Times New Roman"/>
                <w:sz w:val="20"/>
                <w:szCs w:val="20"/>
              </w:rPr>
            </w:pPr>
            <w:r>
              <w:rPr>
                <w:rFonts w:ascii="Times New Roman" w:hAnsi="Times New Roman"/>
                <w:sz w:val="20"/>
                <w:szCs w:val="20"/>
              </w:rPr>
              <w:t>Contractor</w:t>
            </w:r>
          </w:p>
          <w:p w14:paraId="20631B77">
            <w:pPr>
              <w:spacing w:after="0" w:line="240" w:lineRule="auto"/>
              <w:jc w:val="both"/>
              <w:rPr>
                <w:rFonts w:ascii="Times New Roman" w:hAnsi="Times New Roman"/>
                <w:sz w:val="20"/>
                <w:szCs w:val="20"/>
              </w:rPr>
            </w:pPr>
            <w:r>
              <w:rPr>
                <w:rFonts w:ascii="Times New Roman" w:hAnsi="Times New Roman"/>
                <w:sz w:val="20"/>
                <w:szCs w:val="20"/>
              </w:rPr>
              <w:t>Community Health Workers</w:t>
            </w:r>
          </w:p>
        </w:tc>
        <w:tc>
          <w:tcPr>
            <w:tcW w:w="1500" w:type="dxa"/>
          </w:tcPr>
          <w:p w14:paraId="15216DF6">
            <w:pPr>
              <w:spacing w:after="0" w:line="240" w:lineRule="auto"/>
              <w:jc w:val="both"/>
              <w:rPr>
                <w:rFonts w:ascii="Times New Roman" w:hAnsi="Times New Roman"/>
                <w:sz w:val="20"/>
                <w:szCs w:val="20"/>
                <w:lang w:val="en-US"/>
              </w:rPr>
            </w:pPr>
            <w:r>
              <w:rPr>
                <w:rFonts w:ascii="Times New Roman" w:hAnsi="Times New Roman"/>
                <w:b/>
                <w:sz w:val="20"/>
                <w:szCs w:val="20"/>
                <w:lang w:val="en-US"/>
              </w:rPr>
              <w:t>20,000.00</w:t>
            </w:r>
            <w:r>
              <w:rPr>
                <w:rFonts w:ascii="Times New Roman" w:hAnsi="Times New Roman"/>
                <w:sz w:val="20"/>
                <w:szCs w:val="20"/>
                <w:lang w:val="en-US"/>
              </w:rPr>
              <w:t xml:space="preserve"> to cater for a comprehensive awareness program including VCT services and provision for ARVs throughout the project period. </w:t>
            </w:r>
          </w:p>
        </w:tc>
      </w:tr>
      <w:tr w14:paraId="0372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494" w:type="dxa"/>
          </w:tcPr>
          <w:p w14:paraId="737EE483">
            <w:pPr>
              <w:spacing w:after="200" w:line="240" w:lineRule="auto"/>
              <w:jc w:val="both"/>
              <w:rPr>
                <w:rFonts w:ascii="Times New Roman" w:hAnsi="Times New Roman"/>
                <w:sz w:val="20"/>
                <w:szCs w:val="20"/>
              </w:rPr>
            </w:pPr>
            <w:r>
              <w:rPr>
                <w:rFonts w:ascii="Times New Roman" w:hAnsi="Times New Roman"/>
                <w:sz w:val="20"/>
                <w:szCs w:val="20"/>
              </w:rPr>
              <w:t>Construction</w:t>
            </w:r>
          </w:p>
        </w:tc>
        <w:tc>
          <w:tcPr>
            <w:tcW w:w="2394" w:type="dxa"/>
          </w:tcPr>
          <w:p w14:paraId="6611665B">
            <w:pPr>
              <w:spacing w:after="200" w:line="240" w:lineRule="auto"/>
              <w:jc w:val="both"/>
              <w:rPr>
                <w:rFonts w:ascii="Times New Roman" w:hAnsi="Times New Roman"/>
                <w:sz w:val="20"/>
                <w:szCs w:val="20"/>
              </w:rPr>
            </w:pPr>
            <w:r>
              <w:rPr>
                <w:rFonts w:ascii="Times New Roman" w:hAnsi="Times New Roman"/>
                <w:sz w:val="20"/>
                <w:szCs w:val="20"/>
              </w:rPr>
              <w:t>Crime</w:t>
            </w:r>
          </w:p>
        </w:tc>
        <w:tc>
          <w:tcPr>
            <w:tcW w:w="2767" w:type="dxa"/>
          </w:tcPr>
          <w:p w14:paraId="44909922">
            <w:pPr>
              <w:spacing w:after="200" w:line="240" w:lineRule="auto"/>
              <w:jc w:val="both"/>
              <w:rPr>
                <w:rFonts w:ascii="Times New Roman" w:hAnsi="Times New Roman"/>
                <w:sz w:val="20"/>
                <w:szCs w:val="20"/>
              </w:rPr>
            </w:pPr>
            <w:r>
              <w:rPr>
                <w:rFonts w:ascii="Times New Roman" w:hAnsi="Times New Roman"/>
                <w:sz w:val="20"/>
                <w:szCs w:val="20"/>
              </w:rPr>
              <w:t>Incident reports, security patrol logs</w:t>
            </w:r>
          </w:p>
        </w:tc>
        <w:tc>
          <w:tcPr>
            <w:tcW w:w="3566" w:type="dxa"/>
          </w:tcPr>
          <w:p w14:paraId="7A4F92A7">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Hiring security personnel</w:t>
            </w:r>
          </w:p>
          <w:p w14:paraId="59BA00AF">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Securing construction sites</w:t>
            </w:r>
          </w:p>
          <w:p w14:paraId="4FB928B1">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Community engagement</w:t>
            </w:r>
          </w:p>
        </w:tc>
        <w:tc>
          <w:tcPr>
            <w:tcW w:w="1166" w:type="dxa"/>
          </w:tcPr>
          <w:p w14:paraId="0D5AF674">
            <w:pPr>
              <w:spacing w:after="200" w:line="240" w:lineRule="auto"/>
              <w:jc w:val="both"/>
              <w:rPr>
                <w:rFonts w:ascii="Times New Roman" w:hAnsi="Times New Roman"/>
                <w:sz w:val="20"/>
                <w:szCs w:val="20"/>
              </w:rPr>
            </w:pPr>
            <w:r>
              <w:rPr>
                <w:rFonts w:ascii="Times New Roman" w:hAnsi="Times New Roman"/>
                <w:sz w:val="20"/>
                <w:szCs w:val="20"/>
              </w:rPr>
              <w:t>Monthly</w:t>
            </w:r>
          </w:p>
        </w:tc>
        <w:tc>
          <w:tcPr>
            <w:tcW w:w="1500" w:type="dxa"/>
          </w:tcPr>
          <w:p w14:paraId="75AD860C">
            <w:pPr>
              <w:spacing w:after="0" w:line="240" w:lineRule="auto"/>
              <w:jc w:val="both"/>
              <w:rPr>
                <w:rFonts w:ascii="Times New Roman" w:hAnsi="Times New Roman"/>
                <w:sz w:val="20"/>
                <w:szCs w:val="20"/>
              </w:rPr>
            </w:pPr>
            <w:r>
              <w:rPr>
                <w:rFonts w:ascii="Times New Roman" w:hAnsi="Times New Roman"/>
                <w:sz w:val="20"/>
                <w:szCs w:val="20"/>
              </w:rPr>
              <w:t>Contractor</w:t>
            </w:r>
          </w:p>
          <w:p w14:paraId="1CFC6642">
            <w:pPr>
              <w:spacing w:after="0" w:line="240" w:lineRule="auto"/>
              <w:jc w:val="both"/>
              <w:rPr>
                <w:rFonts w:ascii="Times New Roman" w:hAnsi="Times New Roman"/>
                <w:sz w:val="20"/>
                <w:szCs w:val="20"/>
              </w:rPr>
            </w:pPr>
            <w:r>
              <w:rPr>
                <w:rFonts w:ascii="Times New Roman" w:hAnsi="Times New Roman"/>
                <w:sz w:val="20"/>
                <w:szCs w:val="20"/>
              </w:rPr>
              <w:t>Local Law Enforcement</w:t>
            </w:r>
          </w:p>
        </w:tc>
        <w:tc>
          <w:tcPr>
            <w:tcW w:w="1500" w:type="dxa"/>
          </w:tcPr>
          <w:p w14:paraId="19EBBB09">
            <w:pPr>
              <w:spacing w:after="0" w:line="240" w:lineRule="auto"/>
              <w:jc w:val="both"/>
              <w:rPr>
                <w:rFonts w:ascii="Times New Roman" w:hAnsi="Times New Roman"/>
                <w:sz w:val="20"/>
                <w:szCs w:val="20"/>
              </w:rPr>
            </w:pPr>
            <w:r>
              <w:rPr>
                <w:rFonts w:ascii="Times New Roman" w:hAnsi="Times New Roman"/>
                <w:sz w:val="20"/>
                <w:szCs w:val="20"/>
              </w:rPr>
              <w:t>No additional costs</w:t>
            </w:r>
          </w:p>
        </w:tc>
      </w:tr>
      <w:tr w14:paraId="5357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494" w:type="dxa"/>
          </w:tcPr>
          <w:p w14:paraId="6DC33976">
            <w:pPr>
              <w:spacing w:after="200" w:line="240" w:lineRule="auto"/>
              <w:jc w:val="both"/>
              <w:rPr>
                <w:rFonts w:ascii="Times New Roman" w:hAnsi="Times New Roman"/>
                <w:sz w:val="20"/>
                <w:szCs w:val="20"/>
              </w:rPr>
            </w:pPr>
            <w:r>
              <w:rPr>
                <w:rFonts w:ascii="Times New Roman" w:hAnsi="Times New Roman"/>
                <w:sz w:val="20"/>
                <w:szCs w:val="20"/>
              </w:rPr>
              <w:t>Construction</w:t>
            </w:r>
          </w:p>
        </w:tc>
        <w:tc>
          <w:tcPr>
            <w:tcW w:w="2394" w:type="dxa"/>
          </w:tcPr>
          <w:p w14:paraId="75805142">
            <w:pPr>
              <w:spacing w:after="200" w:line="240" w:lineRule="auto"/>
              <w:jc w:val="both"/>
              <w:rPr>
                <w:rFonts w:ascii="Times New Roman" w:hAnsi="Times New Roman"/>
                <w:sz w:val="20"/>
                <w:szCs w:val="20"/>
              </w:rPr>
            </w:pPr>
            <w:r>
              <w:rPr>
                <w:rFonts w:ascii="Times New Roman" w:hAnsi="Times New Roman"/>
                <w:sz w:val="20"/>
                <w:szCs w:val="20"/>
              </w:rPr>
              <w:t>Child Labour and Protection</w:t>
            </w:r>
          </w:p>
        </w:tc>
        <w:tc>
          <w:tcPr>
            <w:tcW w:w="2767" w:type="dxa"/>
          </w:tcPr>
          <w:p w14:paraId="56BA58AC">
            <w:pPr>
              <w:spacing w:after="200" w:line="240" w:lineRule="auto"/>
              <w:jc w:val="both"/>
              <w:rPr>
                <w:rFonts w:ascii="Times New Roman" w:hAnsi="Times New Roman"/>
                <w:sz w:val="20"/>
                <w:szCs w:val="20"/>
              </w:rPr>
            </w:pPr>
            <w:r>
              <w:rPr>
                <w:rFonts w:ascii="Times New Roman" w:hAnsi="Times New Roman"/>
                <w:sz w:val="20"/>
                <w:szCs w:val="20"/>
              </w:rPr>
              <w:t>Age verification records, number of child labour cases reported</w:t>
            </w:r>
          </w:p>
        </w:tc>
        <w:tc>
          <w:tcPr>
            <w:tcW w:w="3566" w:type="dxa"/>
          </w:tcPr>
          <w:p w14:paraId="45E89686">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Strict hiring policies, </w:t>
            </w:r>
          </w:p>
          <w:p w14:paraId="06E37CEF">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Regular audits, </w:t>
            </w:r>
          </w:p>
          <w:p w14:paraId="603C7FAA">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Community awareness campaigns</w:t>
            </w:r>
          </w:p>
          <w:p w14:paraId="0BFA885C">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Worker ID checks</w:t>
            </w:r>
          </w:p>
        </w:tc>
        <w:tc>
          <w:tcPr>
            <w:tcW w:w="1166" w:type="dxa"/>
          </w:tcPr>
          <w:p w14:paraId="254DDE9B">
            <w:pPr>
              <w:spacing w:after="200" w:line="240" w:lineRule="auto"/>
              <w:jc w:val="both"/>
              <w:rPr>
                <w:rFonts w:ascii="Times New Roman" w:hAnsi="Times New Roman"/>
                <w:sz w:val="20"/>
                <w:szCs w:val="20"/>
              </w:rPr>
            </w:pPr>
            <w:r>
              <w:rPr>
                <w:rFonts w:ascii="Times New Roman" w:hAnsi="Times New Roman"/>
                <w:sz w:val="20"/>
                <w:szCs w:val="20"/>
              </w:rPr>
              <w:t>Continuous</w:t>
            </w:r>
          </w:p>
        </w:tc>
        <w:tc>
          <w:tcPr>
            <w:tcW w:w="1500" w:type="dxa"/>
          </w:tcPr>
          <w:p w14:paraId="3761A817">
            <w:pPr>
              <w:spacing w:after="0" w:line="240" w:lineRule="auto"/>
              <w:jc w:val="both"/>
              <w:rPr>
                <w:rFonts w:ascii="Times New Roman" w:hAnsi="Times New Roman"/>
                <w:sz w:val="20"/>
                <w:szCs w:val="20"/>
              </w:rPr>
            </w:pPr>
            <w:r>
              <w:rPr>
                <w:rFonts w:ascii="Times New Roman" w:hAnsi="Times New Roman"/>
                <w:sz w:val="20"/>
                <w:szCs w:val="20"/>
              </w:rPr>
              <w:t>Contractor</w:t>
            </w:r>
          </w:p>
          <w:p w14:paraId="387A54A5">
            <w:pPr>
              <w:spacing w:after="0" w:line="240" w:lineRule="auto"/>
              <w:jc w:val="both"/>
              <w:rPr>
                <w:rFonts w:ascii="Times New Roman" w:hAnsi="Times New Roman"/>
                <w:sz w:val="20"/>
                <w:szCs w:val="20"/>
              </w:rPr>
            </w:pPr>
            <w:r>
              <w:rPr>
                <w:rFonts w:ascii="Times New Roman" w:hAnsi="Times New Roman"/>
                <w:sz w:val="20"/>
                <w:szCs w:val="20"/>
              </w:rPr>
              <w:t>Resident Engineer</w:t>
            </w:r>
          </w:p>
          <w:p w14:paraId="480E130F">
            <w:pPr>
              <w:spacing w:after="200" w:line="240" w:lineRule="auto"/>
              <w:jc w:val="both"/>
              <w:rPr>
                <w:rFonts w:ascii="Times New Roman" w:hAnsi="Times New Roman"/>
                <w:sz w:val="20"/>
                <w:szCs w:val="20"/>
              </w:rPr>
            </w:pPr>
          </w:p>
        </w:tc>
        <w:tc>
          <w:tcPr>
            <w:tcW w:w="1500" w:type="dxa"/>
          </w:tcPr>
          <w:p w14:paraId="5EFE0D79">
            <w:pPr>
              <w:spacing w:after="200" w:line="240" w:lineRule="auto"/>
              <w:jc w:val="both"/>
              <w:rPr>
                <w:rFonts w:ascii="Times New Roman" w:hAnsi="Times New Roman"/>
                <w:sz w:val="20"/>
                <w:szCs w:val="20"/>
              </w:rPr>
            </w:pPr>
            <w:r>
              <w:rPr>
                <w:rFonts w:ascii="Times New Roman" w:hAnsi="Times New Roman"/>
                <w:sz w:val="20"/>
                <w:szCs w:val="20"/>
              </w:rPr>
              <w:t>No additional costs</w:t>
            </w:r>
          </w:p>
        </w:tc>
      </w:tr>
      <w:tr w14:paraId="5B03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494" w:type="dxa"/>
          </w:tcPr>
          <w:p w14:paraId="6B1835BB">
            <w:pPr>
              <w:spacing w:after="200" w:line="240" w:lineRule="auto"/>
              <w:jc w:val="both"/>
              <w:rPr>
                <w:rFonts w:ascii="Times New Roman" w:hAnsi="Times New Roman"/>
                <w:sz w:val="20"/>
                <w:szCs w:val="20"/>
              </w:rPr>
            </w:pPr>
            <w:r>
              <w:rPr>
                <w:rFonts w:ascii="Times New Roman" w:hAnsi="Times New Roman"/>
                <w:sz w:val="20"/>
                <w:szCs w:val="20"/>
              </w:rPr>
              <w:t>Construction</w:t>
            </w:r>
          </w:p>
        </w:tc>
        <w:tc>
          <w:tcPr>
            <w:tcW w:w="2394" w:type="dxa"/>
          </w:tcPr>
          <w:p w14:paraId="1AD230BC">
            <w:pPr>
              <w:spacing w:after="200" w:line="240" w:lineRule="auto"/>
              <w:jc w:val="both"/>
              <w:rPr>
                <w:rFonts w:ascii="Times New Roman" w:hAnsi="Times New Roman"/>
                <w:sz w:val="20"/>
                <w:szCs w:val="20"/>
                <w:lang w:val="en-US"/>
              </w:rPr>
            </w:pPr>
            <w:r>
              <w:rPr>
                <w:rFonts w:ascii="Times New Roman" w:hAnsi="Times New Roman"/>
                <w:sz w:val="20"/>
                <w:szCs w:val="20"/>
              </w:rPr>
              <w:t>GBV-SEA</w:t>
            </w:r>
            <w:r>
              <w:rPr>
                <w:rFonts w:ascii="Times New Roman" w:hAnsi="Times New Roman"/>
                <w:sz w:val="20"/>
                <w:szCs w:val="20"/>
                <w:lang w:val="en-US"/>
              </w:rPr>
              <w:t xml:space="preserve"> / SH</w:t>
            </w:r>
          </w:p>
        </w:tc>
        <w:tc>
          <w:tcPr>
            <w:tcW w:w="2767" w:type="dxa"/>
          </w:tcPr>
          <w:p w14:paraId="0CA4620F">
            <w:pPr>
              <w:spacing w:after="200" w:line="240" w:lineRule="auto"/>
              <w:jc w:val="both"/>
              <w:rPr>
                <w:rFonts w:ascii="Times New Roman" w:hAnsi="Times New Roman"/>
                <w:sz w:val="20"/>
                <w:szCs w:val="20"/>
              </w:rPr>
            </w:pPr>
            <w:r>
              <w:rPr>
                <w:rFonts w:ascii="Times New Roman" w:hAnsi="Times New Roman"/>
                <w:sz w:val="20"/>
                <w:szCs w:val="20"/>
              </w:rPr>
              <w:t>Number of GBV cases reported, grievance redress actions taken</w:t>
            </w:r>
          </w:p>
        </w:tc>
        <w:tc>
          <w:tcPr>
            <w:tcW w:w="3566" w:type="dxa"/>
          </w:tcPr>
          <w:p w14:paraId="1952910C">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Awareness campaigns</w:t>
            </w:r>
          </w:p>
          <w:p w14:paraId="0F934AA9">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Grievance redress mechanism</w:t>
            </w:r>
          </w:p>
          <w:p w14:paraId="20A3EBF2">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Staff training on GBV prevention</w:t>
            </w:r>
          </w:p>
          <w:p w14:paraId="4B9F5F61">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Collaboration with local support services</w:t>
            </w:r>
          </w:p>
          <w:p w14:paraId="3C1AFC7B">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Code of conduct should be signed by all employees</w:t>
            </w:r>
          </w:p>
        </w:tc>
        <w:tc>
          <w:tcPr>
            <w:tcW w:w="1166" w:type="dxa"/>
          </w:tcPr>
          <w:p w14:paraId="7254D844">
            <w:pPr>
              <w:spacing w:after="200" w:line="240" w:lineRule="auto"/>
              <w:jc w:val="both"/>
              <w:rPr>
                <w:rFonts w:ascii="Times New Roman" w:hAnsi="Times New Roman"/>
                <w:sz w:val="20"/>
                <w:szCs w:val="20"/>
              </w:rPr>
            </w:pPr>
            <w:r>
              <w:rPr>
                <w:rFonts w:ascii="Times New Roman" w:hAnsi="Times New Roman"/>
                <w:sz w:val="20"/>
                <w:szCs w:val="20"/>
              </w:rPr>
              <w:t>As needed</w:t>
            </w:r>
          </w:p>
        </w:tc>
        <w:tc>
          <w:tcPr>
            <w:tcW w:w="1500" w:type="dxa"/>
          </w:tcPr>
          <w:p w14:paraId="3BF9A3E3">
            <w:pPr>
              <w:spacing w:after="0" w:line="240" w:lineRule="auto"/>
              <w:jc w:val="both"/>
              <w:rPr>
                <w:rFonts w:ascii="Times New Roman" w:hAnsi="Times New Roman"/>
                <w:sz w:val="20"/>
                <w:szCs w:val="20"/>
              </w:rPr>
            </w:pPr>
            <w:r>
              <w:rPr>
                <w:rFonts w:ascii="Times New Roman" w:hAnsi="Times New Roman"/>
                <w:sz w:val="20"/>
                <w:szCs w:val="20"/>
              </w:rPr>
              <w:t>Contractor,</w:t>
            </w:r>
          </w:p>
          <w:p w14:paraId="7311069D">
            <w:pPr>
              <w:spacing w:after="0" w:line="240" w:lineRule="auto"/>
              <w:jc w:val="both"/>
              <w:rPr>
                <w:rFonts w:ascii="Times New Roman" w:hAnsi="Times New Roman"/>
                <w:sz w:val="20"/>
                <w:szCs w:val="20"/>
              </w:rPr>
            </w:pPr>
            <w:r>
              <w:rPr>
                <w:rFonts w:ascii="Times New Roman" w:hAnsi="Times New Roman"/>
                <w:sz w:val="20"/>
                <w:szCs w:val="20"/>
              </w:rPr>
              <w:t>Resident Engineer</w:t>
            </w:r>
          </w:p>
          <w:p w14:paraId="6F37BC5A">
            <w:pPr>
              <w:spacing w:after="0" w:line="240" w:lineRule="auto"/>
              <w:jc w:val="both"/>
              <w:rPr>
                <w:rFonts w:ascii="Times New Roman" w:hAnsi="Times New Roman"/>
                <w:sz w:val="20"/>
                <w:szCs w:val="20"/>
              </w:rPr>
            </w:pPr>
            <w:r>
              <w:rPr>
                <w:rFonts w:ascii="Times New Roman" w:hAnsi="Times New Roman"/>
                <w:sz w:val="20"/>
                <w:szCs w:val="20"/>
              </w:rPr>
              <w:t xml:space="preserve">KIMAWASCO </w:t>
            </w:r>
          </w:p>
          <w:p w14:paraId="4841CAB2">
            <w:pPr>
              <w:spacing w:after="200" w:line="240" w:lineRule="auto"/>
              <w:jc w:val="both"/>
              <w:rPr>
                <w:rFonts w:ascii="Times New Roman" w:hAnsi="Times New Roman"/>
                <w:sz w:val="20"/>
                <w:szCs w:val="20"/>
                <w:lang w:val="en-US"/>
              </w:rPr>
            </w:pPr>
            <w:r>
              <w:rPr>
                <w:rFonts w:ascii="Times New Roman" w:hAnsi="Times New Roman"/>
                <w:sz w:val="20"/>
                <w:szCs w:val="20"/>
                <w:lang w:val="en-US"/>
              </w:rPr>
              <w:t>Local CBO/ NGO</w:t>
            </w:r>
          </w:p>
        </w:tc>
        <w:tc>
          <w:tcPr>
            <w:tcW w:w="1500" w:type="dxa"/>
          </w:tcPr>
          <w:p w14:paraId="3094264F">
            <w:pPr>
              <w:spacing w:after="200" w:line="240" w:lineRule="auto"/>
              <w:jc w:val="both"/>
              <w:rPr>
                <w:rFonts w:ascii="Times New Roman" w:hAnsi="Times New Roman"/>
                <w:sz w:val="20"/>
                <w:szCs w:val="20"/>
                <w:lang w:val="en-US"/>
              </w:rPr>
            </w:pPr>
            <w:r>
              <w:rPr>
                <w:rFonts w:ascii="Times New Roman" w:hAnsi="Times New Roman"/>
                <w:sz w:val="20"/>
                <w:szCs w:val="20"/>
                <w:lang w:val="en-US"/>
              </w:rPr>
              <w:t>Cost to be met from the contractors’ budget</w:t>
            </w:r>
          </w:p>
          <w:p w14:paraId="1F09EE33">
            <w:pPr>
              <w:spacing w:after="200" w:line="240" w:lineRule="auto"/>
              <w:jc w:val="both"/>
              <w:rPr>
                <w:rFonts w:ascii="Times New Roman" w:hAnsi="Times New Roman"/>
                <w:sz w:val="20"/>
                <w:szCs w:val="20"/>
                <w:lang w:val="en-US"/>
              </w:rPr>
            </w:pPr>
            <w:r>
              <w:rPr>
                <w:rFonts w:ascii="Times New Roman" w:hAnsi="Times New Roman"/>
                <w:b/>
                <w:bCs/>
                <w:sz w:val="20"/>
                <w:szCs w:val="20"/>
                <w:lang w:val="en-US"/>
              </w:rPr>
              <w:t>Kshs. 25,000</w:t>
            </w:r>
          </w:p>
        </w:tc>
      </w:tr>
      <w:tr w14:paraId="1BF2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494" w:type="dxa"/>
          </w:tcPr>
          <w:p w14:paraId="3F69C6DA">
            <w:pPr>
              <w:spacing w:after="200" w:line="240" w:lineRule="auto"/>
              <w:jc w:val="both"/>
              <w:rPr>
                <w:rFonts w:ascii="Times New Roman" w:hAnsi="Times New Roman"/>
                <w:sz w:val="20"/>
                <w:szCs w:val="20"/>
              </w:rPr>
            </w:pPr>
          </w:p>
        </w:tc>
        <w:tc>
          <w:tcPr>
            <w:tcW w:w="2394" w:type="dxa"/>
          </w:tcPr>
          <w:p w14:paraId="57FE5D87">
            <w:pPr>
              <w:spacing w:after="200" w:line="240" w:lineRule="auto"/>
              <w:jc w:val="both"/>
              <w:rPr>
                <w:rFonts w:ascii="Times New Roman" w:hAnsi="Times New Roman"/>
                <w:sz w:val="20"/>
                <w:szCs w:val="20"/>
              </w:rPr>
            </w:pPr>
            <w:r>
              <w:rPr>
                <w:rFonts w:ascii="Times New Roman" w:hAnsi="Times New Roman"/>
                <w:sz w:val="20"/>
                <w:szCs w:val="20"/>
              </w:rPr>
              <w:t>Gender Empowerment</w:t>
            </w:r>
          </w:p>
        </w:tc>
        <w:tc>
          <w:tcPr>
            <w:tcW w:w="2767" w:type="dxa"/>
          </w:tcPr>
          <w:p w14:paraId="5456F70F">
            <w:pPr>
              <w:spacing w:after="200" w:line="240" w:lineRule="auto"/>
              <w:jc w:val="both"/>
              <w:rPr>
                <w:rFonts w:ascii="Times New Roman" w:hAnsi="Times New Roman"/>
                <w:sz w:val="20"/>
                <w:szCs w:val="20"/>
              </w:rPr>
            </w:pPr>
            <w:r>
              <w:rPr>
                <w:rFonts w:ascii="Times New Roman" w:hAnsi="Times New Roman"/>
                <w:sz w:val="20"/>
                <w:szCs w:val="20"/>
              </w:rPr>
              <w:t>Number of women employed</w:t>
            </w:r>
          </w:p>
        </w:tc>
        <w:tc>
          <w:tcPr>
            <w:tcW w:w="3566" w:type="dxa"/>
          </w:tcPr>
          <w:p w14:paraId="2750CD52">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Equal opportunity hiring</w:t>
            </w:r>
          </w:p>
          <w:p w14:paraId="61E19895">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gender sensitivity training</w:t>
            </w:r>
          </w:p>
          <w:p w14:paraId="26A76525">
            <w:pPr>
              <w:pStyle w:val="32"/>
              <w:spacing w:after="0" w:line="240" w:lineRule="auto"/>
              <w:ind w:left="360"/>
              <w:jc w:val="both"/>
              <w:rPr>
                <w:rFonts w:ascii="Times New Roman" w:hAnsi="Times New Roman"/>
                <w:sz w:val="20"/>
                <w:szCs w:val="20"/>
              </w:rPr>
            </w:pPr>
          </w:p>
        </w:tc>
        <w:tc>
          <w:tcPr>
            <w:tcW w:w="1166" w:type="dxa"/>
          </w:tcPr>
          <w:p w14:paraId="7EE00E2F">
            <w:pPr>
              <w:spacing w:after="200" w:line="240" w:lineRule="auto"/>
              <w:jc w:val="both"/>
              <w:rPr>
                <w:rFonts w:ascii="Times New Roman" w:hAnsi="Times New Roman"/>
                <w:sz w:val="20"/>
                <w:szCs w:val="20"/>
              </w:rPr>
            </w:pPr>
            <w:r>
              <w:rPr>
                <w:rFonts w:ascii="Times New Roman" w:hAnsi="Times New Roman"/>
                <w:sz w:val="20"/>
                <w:szCs w:val="20"/>
              </w:rPr>
              <w:t>Quarterly</w:t>
            </w:r>
          </w:p>
        </w:tc>
        <w:tc>
          <w:tcPr>
            <w:tcW w:w="1500" w:type="dxa"/>
          </w:tcPr>
          <w:p w14:paraId="748D27CB">
            <w:pPr>
              <w:spacing w:after="0" w:line="240" w:lineRule="auto"/>
              <w:jc w:val="both"/>
              <w:rPr>
                <w:rFonts w:ascii="Times New Roman" w:hAnsi="Times New Roman"/>
                <w:sz w:val="20"/>
                <w:szCs w:val="20"/>
              </w:rPr>
            </w:pPr>
            <w:r>
              <w:rPr>
                <w:rFonts w:ascii="Times New Roman" w:hAnsi="Times New Roman"/>
                <w:sz w:val="20"/>
                <w:szCs w:val="20"/>
              </w:rPr>
              <w:t>Contractor</w:t>
            </w:r>
          </w:p>
          <w:p w14:paraId="663C875C">
            <w:pPr>
              <w:spacing w:after="0" w:line="240" w:lineRule="auto"/>
              <w:jc w:val="both"/>
              <w:rPr>
                <w:rFonts w:ascii="Times New Roman" w:hAnsi="Times New Roman"/>
                <w:sz w:val="20"/>
                <w:szCs w:val="20"/>
              </w:rPr>
            </w:pPr>
            <w:r>
              <w:rPr>
                <w:rFonts w:ascii="Times New Roman" w:hAnsi="Times New Roman"/>
                <w:sz w:val="20"/>
                <w:szCs w:val="20"/>
              </w:rPr>
              <w:t>Resident Engineer</w:t>
            </w:r>
          </w:p>
        </w:tc>
        <w:tc>
          <w:tcPr>
            <w:tcW w:w="1500" w:type="dxa"/>
          </w:tcPr>
          <w:p w14:paraId="3B21D4ED">
            <w:pPr>
              <w:spacing w:after="0" w:line="240" w:lineRule="auto"/>
              <w:jc w:val="both"/>
              <w:rPr>
                <w:rFonts w:ascii="Times New Roman" w:hAnsi="Times New Roman"/>
                <w:sz w:val="20"/>
                <w:szCs w:val="20"/>
              </w:rPr>
            </w:pPr>
          </w:p>
        </w:tc>
      </w:tr>
      <w:tr w14:paraId="1E49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494" w:type="dxa"/>
          </w:tcPr>
          <w:p w14:paraId="39D84610">
            <w:pPr>
              <w:spacing w:after="200" w:line="240" w:lineRule="auto"/>
              <w:jc w:val="both"/>
              <w:rPr>
                <w:rFonts w:ascii="Times New Roman" w:hAnsi="Times New Roman"/>
                <w:sz w:val="20"/>
                <w:szCs w:val="20"/>
              </w:rPr>
            </w:pPr>
            <w:r>
              <w:rPr>
                <w:rFonts w:ascii="Times New Roman" w:hAnsi="Times New Roman"/>
                <w:sz w:val="20"/>
                <w:szCs w:val="20"/>
              </w:rPr>
              <w:t xml:space="preserve"> </w:t>
            </w:r>
          </w:p>
        </w:tc>
        <w:tc>
          <w:tcPr>
            <w:tcW w:w="2394" w:type="dxa"/>
          </w:tcPr>
          <w:p w14:paraId="3904A389">
            <w:pPr>
              <w:spacing w:after="200" w:line="240" w:lineRule="auto"/>
              <w:jc w:val="both"/>
              <w:rPr>
                <w:rFonts w:ascii="Times New Roman" w:hAnsi="Times New Roman"/>
                <w:sz w:val="20"/>
                <w:szCs w:val="20"/>
              </w:rPr>
            </w:pPr>
            <w:r>
              <w:rPr>
                <w:rFonts w:ascii="Times New Roman" w:hAnsi="Times New Roman"/>
                <w:sz w:val="20"/>
                <w:szCs w:val="20"/>
              </w:rPr>
              <w:t>Gender Equity, Sexual Harassment</w:t>
            </w:r>
          </w:p>
        </w:tc>
        <w:tc>
          <w:tcPr>
            <w:tcW w:w="2767" w:type="dxa"/>
          </w:tcPr>
          <w:p w14:paraId="0202A2CE">
            <w:pPr>
              <w:spacing w:after="200" w:line="240" w:lineRule="auto"/>
              <w:jc w:val="both"/>
              <w:rPr>
                <w:rFonts w:ascii="Times New Roman" w:hAnsi="Times New Roman"/>
                <w:sz w:val="20"/>
                <w:szCs w:val="20"/>
              </w:rPr>
            </w:pPr>
            <w:r>
              <w:rPr>
                <w:rFonts w:ascii="Times New Roman" w:hAnsi="Times New Roman"/>
                <w:sz w:val="20"/>
                <w:szCs w:val="20"/>
              </w:rPr>
              <w:t>Grievance reports, training sessions on gender equity</w:t>
            </w:r>
          </w:p>
        </w:tc>
        <w:tc>
          <w:tcPr>
            <w:tcW w:w="3566" w:type="dxa"/>
          </w:tcPr>
          <w:p w14:paraId="3A2C58C2">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Anti-harassment policies</w:t>
            </w:r>
          </w:p>
          <w:p w14:paraId="5255CC7D">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Anonymous reporting systems</w:t>
            </w:r>
          </w:p>
          <w:p w14:paraId="4092C93A">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Mandatory training on harassment prevention</w:t>
            </w:r>
          </w:p>
          <w:p w14:paraId="5A3E8C89">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Clear disciplinary actions</w:t>
            </w:r>
          </w:p>
        </w:tc>
        <w:tc>
          <w:tcPr>
            <w:tcW w:w="1166" w:type="dxa"/>
          </w:tcPr>
          <w:p w14:paraId="2CA25523">
            <w:pPr>
              <w:spacing w:after="200" w:line="240" w:lineRule="auto"/>
              <w:jc w:val="both"/>
              <w:rPr>
                <w:rFonts w:ascii="Times New Roman" w:hAnsi="Times New Roman"/>
                <w:sz w:val="20"/>
                <w:szCs w:val="20"/>
              </w:rPr>
            </w:pPr>
            <w:r>
              <w:rPr>
                <w:rFonts w:ascii="Times New Roman" w:hAnsi="Times New Roman"/>
                <w:sz w:val="20"/>
                <w:szCs w:val="20"/>
              </w:rPr>
              <w:t>Quarterly</w:t>
            </w:r>
          </w:p>
        </w:tc>
        <w:tc>
          <w:tcPr>
            <w:tcW w:w="1500" w:type="dxa"/>
          </w:tcPr>
          <w:p w14:paraId="6AA8F2BC">
            <w:pPr>
              <w:spacing w:after="0" w:line="240" w:lineRule="auto"/>
              <w:jc w:val="both"/>
              <w:rPr>
                <w:rFonts w:ascii="Times New Roman" w:hAnsi="Times New Roman"/>
                <w:sz w:val="20"/>
                <w:szCs w:val="20"/>
              </w:rPr>
            </w:pPr>
            <w:r>
              <w:rPr>
                <w:rFonts w:ascii="Times New Roman" w:hAnsi="Times New Roman"/>
                <w:sz w:val="20"/>
                <w:szCs w:val="20"/>
              </w:rPr>
              <w:t>Contractor</w:t>
            </w:r>
          </w:p>
          <w:p w14:paraId="6E74FA06">
            <w:pPr>
              <w:spacing w:after="0" w:line="240" w:lineRule="auto"/>
              <w:jc w:val="both"/>
              <w:rPr>
                <w:rFonts w:ascii="Times New Roman" w:hAnsi="Times New Roman"/>
                <w:sz w:val="20"/>
                <w:szCs w:val="20"/>
              </w:rPr>
            </w:pPr>
            <w:r>
              <w:rPr>
                <w:rFonts w:ascii="Times New Roman" w:hAnsi="Times New Roman"/>
                <w:sz w:val="20"/>
                <w:szCs w:val="20"/>
              </w:rPr>
              <w:t>Resident engineer</w:t>
            </w:r>
          </w:p>
          <w:p w14:paraId="18A8AF52">
            <w:pPr>
              <w:spacing w:after="200" w:line="240" w:lineRule="auto"/>
              <w:jc w:val="both"/>
              <w:rPr>
                <w:rFonts w:ascii="Times New Roman" w:hAnsi="Times New Roman"/>
                <w:sz w:val="20"/>
                <w:szCs w:val="20"/>
              </w:rPr>
            </w:pPr>
          </w:p>
        </w:tc>
        <w:tc>
          <w:tcPr>
            <w:tcW w:w="1500" w:type="dxa"/>
          </w:tcPr>
          <w:p w14:paraId="1A5A8913">
            <w:pPr>
              <w:spacing w:after="200" w:line="240" w:lineRule="auto"/>
              <w:jc w:val="both"/>
              <w:rPr>
                <w:rFonts w:ascii="Times New Roman" w:hAnsi="Times New Roman"/>
                <w:sz w:val="20"/>
                <w:szCs w:val="20"/>
              </w:rPr>
            </w:pPr>
            <w:r>
              <w:rPr>
                <w:rFonts w:ascii="Times New Roman" w:hAnsi="Times New Roman"/>
                <w:sz w:val="20"/>
                <w:szCs w:val="20"/>
              </w:rPr>
              <w:t xml:space="preserve">No additional costs </w:t>
            </w:r>
          </w:p>
        </w:tc>
      </w:tr>
      <w:tr w14:paraId="0D64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494" w:type="dxa"/>
          </w:tcPr>
          <w:p w14:paraId="7FC650C2">
            <w:pPr>
              <w:spacing w:after="200" w:line="240" w:lineRule="auto"/>
              <w:jc w:val="both"/>
              <w:rPr>
                <w:rFonts w:ascii="Times New Roman" w:hAnsi="Times New Roman"/>
                <w:sz w:val="20"/>
                <w:szCs w:val="20"/>
              </w:rPr>
            </w:pPr>
            <w:r>
              <w:rPr>
                <w:rFonts w:ascii="Times New Roman" w:hAnsi="Times New Roman"/>
                <w:sz w:val="20"/>
                <w:szCs w:val="20"/>
              </w:rPr>
              <w:t xml:space="preserve"> </w:t>
            </w:r>
          </w:p>
        </w:tc>
        <w:tc>
          <w:tcPr>
            <w:tcW w:w="2394" w:type="dxa"/>
          </w:tcPr>
          <w:p w14:paraId="76151976">
            <w:pPr>
              <w:spacing w:after="200" w:line="240" w:lineRule="auto"/>
              <w:jc w:val="both"/>
              <w:rPr>
                <w:rFonts w:ascii="Times New Roman" w:hAnsi="Times New Roman"/>
                <w:sz w:val="20"/>
                <w:szCs w:val="20"/>
              </w:rPr>
            </w:pPr>
            <w:r>
              <w:rPr>
                <w:rFonts w:ascii="Times New Roman" w:hAnsi="Times New Roman"/>
                <w:sz w:val="20"/>
                <w:szCs w:val="20"/>
              </w:rPr>
              <w:t>Liability for Loss of Life, Injury or Property Damage</w:t>
            </w:r>
          </w:p>
        </w:tc>
        <w:tc>
          <w:tcPr>
            <w:tcW w:w="2767" w:type="dxa"/>
          </w:tcPr>
          <w:p w14:paraId="227EAECB">
            <w:pPr>
              <w:spacing w:after="200" w:line="240" w:lineRule="auto"/>
              <w:jc w:val="both"/>
              <w:rPr>
                <w:rFonts w:ascii="Times New Roman" w:hAnsi="Times New Roman"/>
                <w:sz w:val="20"/>
                <w:szCs w:val="20"/>
              </w:rPr>
            </w:pPr>
            <w:r>
              <w:rPr>
                <w:rFonts w:ascii="Times New Roman" w:hAnsi="Times New Roman"/>
                <w:sz w:val="20"/>
                <w:szCs w:val="20"/>
              </w:rPr>
              <w:t>Incident reports, compensation records, corrective actions taken</w:t>
            </w:r>
          </w:p>
        </w:tc>
        <w:tc>
          <w:tcPr>
            <w:tcW w:w="3566" w:type="dxa"/>
          </w:tcPr>
          <w:p w14:paraId="71045D03">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Insurance coverage WIBA for all workers, </w:t>
            </w:r>
          </w:p>
          <w:p w14:paraId="4F712FEE">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Worker training</w:t>
            </w:r>
          </w:p>
          <w:p w14:paraId="44489068">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Emergency response plans</w:t>
            </w:r>
          </w:p>
          <w:p w14:paraId="2ED8C28B">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Regular safety audits</w:t>
            </w:r>
          </w:p>
        </w:tc>
        <w:tc>
          <w:tcPr>
            <w:tcW w:w="1166" w:type="dxa"/>
          </w:tcPr>
          <w:p w14:paraId="4CAC2364">
            <w:pPr>
              <w:spacing w:after="200" w:line="240" w:lineRule="auto"/>
              <w:jc w:val="both"/>
              <w:rPr>
                <w:rFonts w:ascii="Times New Roman" w:hAnsi="Times New Roman"/>
                <w:sz w:val="20"/>
                <w:szCs w:val="20"/>
              </w:rPr>
            </w:pPr>
            <w:r>
              <w:rPr>
                <w:rFonts w:ascii="Times New Roman" w:hAnsi="Times New Roman"/>
                <w:sz w:val="20"/>
                <w:szCs w:val="20"/>
              </w:rPr>
              <w:t xml:space="preserve">Monthly </w:t>
            </w:r>
          </w:p>
        </w:tc>
        <w:tc>
          <w:tcPr>
            <w:tcW w:w="1500" w:type="dxa"/>
          </w:tcPr>
          <w:p w14:paraId="02D68574">
            <w:pPr>
              <w:spacing w:after="200" w:line="240" w:lineRule="auto"/>
              <w:jc w:val="both"/>
              <w:rPr>
                <w:rFonts w:ascii="Times New Roman" w:hAnsi="Times New Roman"/>
                <w:sz w:val="20"/>
                <w:szCs w:val="20"/>
              </w:rPr>
            </w:pPr>
            <w:r>
              <w:rPr>
                <w:rFonts w:ascii="Times New Roman" w:hAnsi="Times New Roman"/>
                <w:sz w:val="20"/>
                <w:szCs w:val="20"/>
              </w:rPr>
              <w:t>Contractor,</w:t>
            </w:r>
          </w:p>
          <w:p w14:paraId="7ACA699C">
            <w:pPr>
              <w:spacing w:after="200" w:line="240" w:lineRule="auto"/>
              <w:jc w:val="both"/>
              <w:rPr>
                <w:rFonts w:ascii="Times New Roman" w:hAnsi="Times New Roman"/>
                <w:sz w:val="20"/>
                <w:szCs w:val="20"/>
              </w:rPr>
            </w:pPr>
            <w:r>
              <w:rPr>
                <w:rFonts w:ascii="Times New Roman" w:hAnsi="Times New Roman"/>
                <w:sz w:val="20"/>
                <w:szCs w:val="20"/>
              </w:rPr>
              <w:t xml:space="preserve">Resident engineer </w:t>
            </w:r>
          </w:p>
        </w:tc>
        <w:tc>
          <w:tcPr>
            <w:tcW w:w="1500" w:type="dxa"/>
          </w:tcPr>
          <w:p w14:paraId="7E44D856">
            <w:pPr>
              <w:spacing w:after="200" w:line="240" w:lineRule="auto"/>
              <w:jc w:val="both"/>
              <w:rPr>
                <w:rFonts w:ascii="Times New Roman" w:hAnsi="Times New Roman"/>
                <w:sz w:val="20"/>
                <w:szCs w:val="20"/>
                <w:lang w:val="en-US"/>
              </w:rPr>
            </w:pPr>
            <w:r>
              <w:rPr>
                <w:rFonts w:ascii="Times New Roman" w:hAnsi="Times New Roman"/>
                <w:sz w:val="20"/>
                <w:szCs w:val="20"/>
                <w:lang w:val="en-US"/>
              </w:rPr>
              <w:t>No additional Costs.</w:t>
            </w:r>
          </w:p>
          <w:p w14:paraId="424287E6">
            <w:pPr>
              <w:spacing w:after="200" w:line="240" w:lineRule="auto"/>
              <w:jc w:val="both"/>
              <w:rPr>
                <w:rFonts w:ascii="Times New Roman" w:hAnsi="Times New Roman"/>
                <w:sz w:val="20"/>
                <w:szCs w:val="20"/>
              </w:rPr>
            </w:pPr>
            <w:r>
              <w:rPr>
                <w:rFonts w:ascii="Times New Roman" w:hAnsi="Times New Roman"/>
                <w:sz w:val="20"/>
                <w:szCs w:val="20"/>
                <w:lang w:val="en-US"/>
              </w:rPr>
              <w:t xml:space="preserve">Compensation to be determined when it happens. </w:t>
            </w:r>
          </w:p>
        </w:tc>
      </w:tr>
      <w:tr w14:paraId="183C8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494" w:type="dxa"/>
          </w:tcPr>
          <w:p w14:paraId="5FE88CF6">
            <w:pPr>
              <w:spacing w:after="200" w:line="240" w:lineRule="auto"/>
              <w:jc w:val="both"/>
              <w:rPr>
                <w:rFonts w:ascii="Times New Roman" w:hAnsi="Times New Roman"/>
                <w:sz w:val="20"/>
                <w:szCs w:val="20"/>
              </w:rPr>
            </w:pPr>
          </w:p>
        </w:tc>
        <w:tc>
          <w:tcPr>
            <w:tcW w:w="2394" w:type="dxa"/>
          </w:tcPr>
          <w:p w14:paraId="7774B4C5">
            <w:pPr>
              <w:spacing w:after="200" w:line="240" w:lineRule="auto"/>
              <w:jc w:val="both"/>
              <w:rPr>
                <w:rFonts w:ascii="Times New Roman" w:hAnsi="Times New Roman"/>
                <w:sz w:val="20"/>
                <w:szCs w:val="20"/>
              </w:rPr>
            </w:pPr>
            <w:r>
              <w:rPr>
                <w:rFonts w:ascii="Times New Roman" w:hAnsi="Times New Roman"/>
                <w:sz w:val="20"/>
                <w:szCs w:val="20"/>
              </w:rPr>
              <w:t>Public Health &amp; Safety</w:t>
            </w:r>
          </w:p>
        </w:tc>
        <w:tc>
          <w:tcPr>
            <w:tcW w:w="2767" w:type="dxa"/>
          </w:tcPr>
          <w:p w14:paraId="5347EFFD">
            <w:pPr>
              <w:spacing w:after="200" w:line="240" w:lineRule="auto"/>
              <w:jc w:val="both"/>
              <w:rPr>
                <w:rFonts w:ascii="Times New Roman" w:hAnsi="Times New Roman"/>
                <w:sz w:val="20"/>
                <w:szCs w:val="20"/>
              </w:rPr>
            </w:pPr>
            <w:r>
              <w:rPr>
                <w:rFonts w:ascii="Times New Roman" w:hAnsi="Times New Roman"/>
                <w:sz w:val="20"/>
                <w:szCs w:val="20"/>
              </w:rPr>
              <w:t>Number of communicable diseases reported</w:t>
            </w:r>
          </w:p>
        </w:tc>
        <w:tc>
          <w:tcPr>
            <w:tcW w:w="3566" w:type="dxa"/>
          </w:tcPr>
          <w:p w14:paraId="09CE91A8">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Regular maintenance of the facility, </w:t>
            </w:r>
          </w:p>
          <w:p w14:paraId="54B69E37">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Implementation of proper sludge handling </w:t>
            </w:r>
          </w:p>
          <w:p w14:paraId="7CE0890E">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Training staff on health and safety protocols.</w:t>
            </w:r>
          </w:p>
          <w:p w14:paraId="4CF6DF90">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Community awareness on hygiene practices </w:t>
            </w:r>
          </w:p>
        </w:tc>
        <w:tc>
          <w:tcPr>
            <w:tcW w:w="1166" w:type="dxa"/>
          </w:tcPr>
          <w:p w14:paraId="35EB6C5B">
            <w:pPr>
              <w:spacing w:after="200" w:line="240" w:lineRule="auto"/>
              <w:jc w:val="both"/>
              <w:rPr>
                <w:rFonts w:ascii="Times New Roman" w:hAnsi="Times New Roman"/>
                <w:sz w:val="20"/>
                <w:szCs w:val="20"/>
              </w:rPr>
            </w:pPr>
            <w:r>
              <w:rPr>
                <w:rFonts w:ascii="Times New Roman" w:hAnsi="Times New Roman"/>
                <w:sz w:val="20"/>
                <w:szCs w:val="20"/>
              </w:rPr>
              <w:t xml:space="preserve">Monthly </w:t>
            </w:r>
          </w:p>
        </w:tc>
        <w:tc>
          <w:tcPr>
            <w:tcW w:w="1500" w:type="dxa"/>
          </w:tcPr>
          <w:p w14:paraId="23A8BF1E">
            <w:pPr>
              <w:spacing w:after="0" w:line="240" w:lineRule="auto"/>
              <w:jc w:val="both"/>
              <w:rPr>
                <w:rFonts w:ascii="Times New Roman" w:hAnsi="Times New Roman"/>
                <w:sz w:val="20"/>
                <w:szCs w:val="20"/>
              </w:rPr>
            </w:pPr>
            <w:r>
              <w:rPr>
                <w:rFonts w:ascii="Times New Roman" w:hAnsi="Times New Roman"/>
                <w:sz w:val="20"/>
                <w:szCs w:val="20"/>
              </w:rPr>
              <w:t>KIMAWASCO</w:t>
            </w:r>
          </w:p>
          <w:p w14:paraId="1BB8B67F">
            <w:pPr>
              <w:spacing w:after="0" w:line="240" w:lineRule="auto"/>
              <w:jc w:val="both"/>
              <w:rPr>
                <w:rFonts w:ascii="Times New Roman" w:hAnsi="Times New Roman"/>
                <w:sz w:val="20"/>
                <w:szCs w:val="20"/>
              </w:rPr>
            </w:pPr>
            <w:r>
              <w:rPr>
                <w:rFonts w:ascii="Times New Roman" w:hAnsi="Times New Roman"/>
                <w:sz w:val="20"/>
                <w:szCs w:val="20"/>
              </w:rPr>
              <w:t xml:space="preserve">Local Health Authorities </w:t>
            </w:r>
          </w:p>
        </w:tc>
        <w:tc>
          <w:tcPr>
            <w:tcW w:w="1500" w:type="dxa"/>
          </w:tcPr>
          <w:p w14:paraId="183DDC63">
            <w:pPr>
              <w:spacing w:after="0" w:line="240" w:lineRule="auto"/>
              <w:jc w:val="both"/>
              <w:rPr>
                <w:rFonts w:ascii="Times New Roman" w:hAnsi="Times New Roman"/>
                <w:sz w:val="20"/>
                <w:szCs w:val="20"/>
              </w:rPr>
            </w:pPr>
            <w:r>
              <w:rPr>
                <w:rFonts w:ascii="Times New Roman" w:hAnsi="Times New Roman"/>
                <w:sz w:val="20"/>
                <w:szCs w:val="20"/>
              </w:rPr>
              <w:t xml:space="preserve">No additional costs </w:t>
            </w:r>
          </w:p>
        </w:tc>
      </w:tr>
      <w:tr w14:paraId="005B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494" w:type="dxa"/>
          </w:tcPr>
          <w:p w14:paraId="655DA019">
            <w:pPr>
              <w:spacing w:after="200" w:line="240" w:lineRule="auto"/>
              <w:jc w:val="both"/>
              <w:rPr>
                <w:rFonts w:ascii="Times New Roman" w:hAnsi="Times New Roman"/>
                <w:sz w:val="20"/>
                <w:szCs w:val="20"/>
              </w:rPr>
            </w:pPr>
          </w:p>
        </w:tc>
        <w:tc>
          <w:tcPr>
            <w:tcW w:w="2394" w:type="dxa"/>
          </w:tcPr>
          <w:p w14:paraId="53D3BB2B">
            <w:pPr>
              <w:spacing w:after="200" w:line="240" w:lineRule="auto"/>
              <w:jc w:val="both"/>
              <w:rPr>
                <w:rFonts w:ascii="Times New Roman" w:hAnsi="Times New Roman"/>
                <w:sz w:val="20"/>
                <w:szCs w:val="20"/>
              </w:rPr>
            </w:pPr>
            <w:r>
              <w:rPr>
                <w:rFonts w:ascii="Times New Roman" w:hAnsi="Times New Roman"/>
                <w:sz w:val="20"/>
                <w:szCs w:val="20"/>
              </w:rPr>
              <w:t>Impact of wastewater</w:t>
            </w:r>
          </w:p>
        </w:tc>
        <w:tc>
          <w:tcPr>
            <w:tcW w:w="2767" w:type="dxa"/>
          </w:tcPr>
          <w:p w14:paraId="7CC04386">
            <w:pPr>
              <w:spacing w:after="200" w:line="240" w:lineRule="auto"/>
              <w:jc w:val="both"/>
              <w:rPr>
                <w:rFonts w:ascii="Times New Roman" w:hAnsi="Times New Roman"/>
                <w:sz w:val="20"/>
                <w:szCs w:val="20"/>
                <w:lang w:val="en-US"/>
              </w:rPr>
            </w:pPr>
            <w:r>
              <w:rPr>
                <w:rFonts w:ascii="Times New Roman" w:hAnsi="Times New Roman"/>
                <w:sz w:val="20"/>
                <w:szCs w:val="20"/>
                <w:lang w:val="en-US"/>
              </w:rPr>
              <w:t>Records of cleaning schedules, desludging, and soak pit inspections.</w:t>
            </w:r>
          </w:p>
          <w:p w14:paraId="76EB62E3">
            <w:pPr>
              <w:spacing w:after="200" w:line="240" w:lineRule="auto"/>
              <w:jc w:val="both"/>
              <w:rPr>
                <w:rFonts w:ascii="Times New Roman" w:hAnsi="Times New Roman"/>
                <w:sz w:val="20"/>
                <w:szCs w:val="20"/>
              </w:rPr>
            </w:pPr>
          </w:p>
        </w:tc>
        <w:tc>
          <w:tcPr>
            <w:tcW w:w="3566" w:type="dxa"/>
          </w:tcPr>
          <w:p w14:paraId="3F3D9E5E">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Regular inspection and desludging of septic tanks </w:t>
            </w:r>
          </w:p>
          <w:p w14:paraId="39F15863">
            <w:pPr>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Periodic cleaning and rehabilitation of soak pits </w:t>
            </w:r>
          </w:p>
          <w:p w14:paraId="7AD89871">
            <w:pPr>
              <w:numPr>
                <w:ilvl w:val="0"/>
                <w:numId w:val="6"/>
              </w:numPr>
              <w:spacing w:after="0" w:line="240" w:lineRule="auto"/>
              <w:jc w:val="both"/>
              <w:rPr>
                <w:rFonts w:ascii="Times New Roman" w:hAnsi="Times New Roman"/>
                <w:sz w:val="20"/>
                <w:szCs w:val="20"/>
              </w:rPr>
            </w:pPr>
            <w:r>
              <w:rPr>
                <w:rFonts w:ascii="Times New Roman" w:hAnsi="Times New Roman"/>
                <w:sz w:val="20"/>
                <w:szCs w:val="20"/>
              </w:rPr>
              <w:t>Using low-flow fixtures and water-efficient technologies to reduce wastewater volume.</w:t>
            </w:r>
          </w:p>
          <w:p w14:paraId="625D1605">
            <w:pPr>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Educating users on responsible water usage </w:t>
            </w:r>
          </w:p>
        </w:tc>
        <w:tc>
          <w:tcPr>
            <w:tcW w:w="1166" w:type="dxa"/>
          </w:tcPr>
          <w:p w14:paraId="2822981B">
            <w:pPr>
              <w:spacing w:after="200" w:line="240" w:lineRule="auto"/>
              <w:jc w:val="both"/>
              <w:rPr>
                <w:rFonts w:ascii="Times New Roman" w:hAnsi="Times New Roman"/>
                <w:sz w:val="20"/>
                <w:szCs w:val="20"/>
              </w:rPr>
            </w:pPr>
            <w:r>
              <w:rPr>
                <w:rFonts w:ascii="Times New Roman" w:hAnsi="Times New Roman"/>
                <w:sz w:val="20"/>
                <w:szCs w:val="20"/>
              </w:rPr>
              <w:t xml:space="preserve">Quarterly </w:t>
            </w:r>
          </w:p>
        </w:tc>
        <w:tc>
          <w:tcPr>
            <w:tcW w:w="1500" w:type="dxa"/>
          </w:tcPr>
          <w:p w14:paraId="523218ED">
            <w:pPr>
              <w:spacing w:after="0" w:line="240" w:lineRule="auto"/>
              <w:jc w:val="both"/>
              <w:rPr>
                <w:rFonts w:ascii="Times New Roman" w:hAnsi="Times New Roman"/>
                <w:sz w:val="20"/>
                <w:szCs w:val="20"/>
              </w:rPr>
            </w:pPr>
            <w:r>
              <w:rPr>
                <w:rFonts w:ascii="Times New Roman" w:hAnsi="Times New Roman"/>
                <w:sz w:val="20"/>
                <w:szCs w:val="20"/>
              </w:rPr>
              <w:t>KIMAWASCO</w:t>
            </w:r>
          </w:p>
          <w:p w14:paraId="66F3231F">
            <w:pPr>
              <w:spacing w:after="0" w:line="240" w:lineRule="auto"/>
              <w:jc w:val="both"/>
              <w:rPr>
                <w:rFonts w:ascii="Times New Roman" w:hAnsi="Times New Roman"/>
                <w:sz w:val="20"/>
                <w:szCs w:val="20"/>
              </w:rPr>
            </w:pPr>
            <w:r>
              <w:rPr>
                <w:rFonts w:ascii="Times New Roman" w:hAnsi="Times New Roman"/>
                <w:sz w:val="20"/>
                <w:szCs w:val="20"/>
              </w:rPr>
              <w:t xml:space="preserve">Local Authorities </w:t>
            </w:r>
          </w:p>
        </w:tc>
        <w:tc>
          <w:tcPr>
            <w:tcW w:w="1500" w:type="dxa"/>
          </w:tcPr>
          <w:p w14:paraId="1897531A">
            <w:pPr>
              <w:spacing w:after="0" w:line="240" w:lineRule="auto"/>
              <w:jc w:val="both"/>
              <w:rPr>
                <w:rFonts w:ascii="Times New Roman" w:hAnsi="Times New Roman"/>
                <w:sz w:val="20"/>
                <w:szCs w:val="20"/>
              </w:rPr>
            </w:pPr>
            <w:r>
              <w:rPr>
                <w:rFonts w:ascii="Times New Roman" w:hAnsi="Times New Roman"/>
                <w:sz w:val="20"/>
                <w:szCs w:val="20"/>
              </w:rPr>
              <w:t>No additional costs</w:t>
            </w:r>
          </w:p>
        </w:tc>
      </w:tr>
      <w:tr w14:paraId="11C0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494" w:type="dxa"/>
          </w:tcPr>
          <w:p w14:paraId="5B574CF9">
            <w:pPr>
              <w:spacing w:after="200" w:line="240" w:lineRule="auto"/>
              <w:jc w:val="both"/>
              <w:rPr>
                <w:rFonts w:ascii="Times New Roman" w:hAnsi="Times New Roman"/>
                <w:sz w:val="20"/>
                <w:szCs w:val="20"/>
              </w:rPr>
            </w:pPr>
          </w:p>
        </w:tc>
        <w:tc>
          <w:tcPr>
            <w:tcW w:w="2394" w:type="dxa"/>
          </w:tcPr>
          <w:p w14:paraId="3F30D895">
            <w:pPr>
              <w:spacing w:after="200" w:line="240" w:lineRule="auto"/>
              <w:jc w:val="both"/>
              <w:rPr>
                <w:rFonts w:ascii="Times New Roman" w:hAnsi="Times New Roman"/>
                <w:sz w:val="20"/>
                <w:szCs w:val="20"/>
              </w:rPr>
            </w:pPr>
            <w:r>
              <w:rPr>
                <w:rFonts w:ascii="Times New Roman" w:hAnsi="Times New Roman"/>
                <w:sz w:val="20"/>
                <w:szCs w:val="20"/>
              </w:rPr>
              <w:t xml:space="preserve">Impacts on water sources </w:t>
            </w:r>
          </w:p>
        </w:tc>
        <w:tc>
          <w:tcPr>
            <w:tcW w:w="2767" w:type="dxa"/>
          </w:tcPr>
          <w:p w14:paraId="4FF1921C">
            <w:pPr>
              <w:spacing w:after="200" w:line="240" w:lineRule="auto"/>
              <w:jc w:val="both"/>
              <w:rPr>
                <w:rFonts w:ascii="Times New Roman" w:hAnsi="Times New Roman"/>
                <w:sz w:val="20"/>
                <w:szCs w:val="20"/>
              </w:rPr>
            </w:pPr>
            <w:r>
              <w:rPr>
                <w:rFonts w:ascii="Times New Roman" w:hAnsi="Times New Roman"/>
                <w:sz w:val="20"/>
                <w:szCs w:val="20"/>
              </w:rPr>
              <w:t>Regular testing for pH, dissolved oxygen, nitrates, and coliform bacteria in nearby water sources</w:t>
            </w:r>
          </w:p>
        </w:tc>
        <w:tc>
          <w:tcPr>
            <w:tcW w:w="3566" w:type="dxa"/>
          </w:tcPr>
          <w:p w14:paraId="017F2F0B">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Routine water quality monitoring of nearby water bodies and groundwater.</w:t>
            </w:r>
          </w:p>
          <w:p w14:paraId="073C5792">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Installation of a well-maintained septic system </w:t>
            </w:r>
          </w:p>
          <w:p w14:paraId="30F833B7">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Developing a contingency plan for emergency leaks </w:t>
            </w:r>
          </w:p>
        </w:tc>
        <w:tc>
          <w:tcPr>
            <w:tcW w:w="1166" w:type="dxa"/>
          </w:tcPr>
          <w:p w14:paraId="3CE4B0E2">
            <w:pPr>
              <w:spacing w:after="200" w:line="240" w:lineRule="auto"/>
              <w:jc w:val="both"/>
              <w:rPr>
                <w:rFonts w:ascii="Times New Roman" w:hAnsi="Times New Roman"/>
                <w:sz w:val="20"/>
                <w:szCs w:val="20"/>
              </w:rPr>
            </w:pPr>
            <w:r>
              <w:rPr>
                <w:rFonts w:ascii="Times New Roman" w:hAnsi="Times New Roman"/>
                <w:sz w:val="20"/>
                <w:szCs w:val="20"/>
              </w:rPr>
              <w:t xml:space="preserve">Quarterly </w:t>
            </w:r>
          </w:p>
        </w:tc>
        <w:tc>
          <w:tcPr>
            <w:tcW w:w="1500" w:type="dxa"/>
          </w:tcPr>
          <w:p w14:paraId="2C62B58B">
            <w:pPr>
              <w:spacing w:after="0" w:line="240" w:lineRule="auto"/>
              <w:jc w:val="both"/>
              <w:rPr>
                <w:rFonts w:ascii="Times New Roman" w:hAnsi="Times New Roman"/>
                <w:sz w:val="20"/>
                <w:szCs w:val="20"/>
              </w:rPr>
            </w:pPr>
            <w:r>
              <w:rPr>
                <w:rFonts w:ascii="Times New Roman" w:hAnsi="Times New Roman"/>
                <w:sz w:val="20"/>
                <w:szCs w:val="20"/>
              </w:rPr>
              <w:t>KIMAWASCO</w:t>
            </w:r>
          </w:p>
          <w:p w14:paraId="61DB52C9">
            <w:pPr>
              <w:spacing w:after="0" w:line="240" w:lineRule="auto"/>
              <w:jc w:val="both"/>
              <w:rPr>
                <w:rFonts w:ascii="Times New Roman" w:hAnsi="Times New Roman"/>
                <w:sz w:val="20"/>
                <w:szCs w:val="20"/>
              </w:rPr>
            </w:pPr>
            <w:r>
              <w:rPr>
                <w:rFonts w:ascii="Times New Roman" w:hAnsi="Times New Roman"/>
                <w:sz w:val="20"/>
                <w:szCs w:val="20"/>
              </w:rPr>
              <w:t>NEMA</w:t>
            </w:r>
          </w:p>
          <w:p w14:paraId="3603D930">
            <w:pPr>
              <w:spacing w:after="0" w:line="240" w:lineRule="auto"/>
              <w:jc w:val="both"/>
              <w:rPr>
                <w:rFonts w:ascii="Times New Roman" w:hAnsi="Times New Roman"/>
                <w:sz w:val="20"/>
                <w:szCs w:val="20"/>
              </w:rPr>
            </w:pPr>
            <w:r>
              <w:rPr>
                <w:rFonts w:ascii="Times New Roman" w:hAnsi="Times New Roman"/>
                <w:sz w:val="20"/>
                <w:szCs w:val="20"/>
              </w:rPr>
              <w:t>Water Resources</w:t>
            </w:r>
          </w:p>
        </w:tc>
        <w:tc>
          <w:tcPr>
            <w:tcW w:w="1500" w:type="dxa"/>
          </w:tcPr>
          <w:p w14:paraId="4CAFDD0E">
            <w:pPr>
              <w:spacing w:after="0" w:line="240" w:lineRule="auto"/>
              <w:jc w:val="both"/>
              <w:rPr>
                <w:rFonts w:ascii="Times New Roman" w:hAnsi="Times New Roman"/>
                <w:sz w:val="20"/>
                <w:szCs w:val="20"/>
              </w:rPr>
            </w:pPr>
            <w:r>
              <w:rPr>
                <w:rFonts w:ascii="Times New Roman" w:hAnsi="Times New Roman"/>
                <w:sz w:val="20"/>
                <w:szCs w:val="20"/>
              </w:rPr>
              <w:t>No additional costs</w:t>
            </w:r>
          </w:p>
        </w:tc>
      </w:tr>
      <w:tr w14:paraId="7DF3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494" w:type="dxa"/>
          </w:tcPr>
          <w:p w14:paraId="16A54653">
            <w:pPr>
              <w:spacing w:after="200" w:line="240" w:lineRule="auto"/>
              <w:jc w:val="both"/>
              <w:rPr>
                <w:rFonts w:ascii="Times New Roman" w:hAnsi="Times New Roman"/>
                <w:sz w:val="20"/>
                <w:szCs w:val="20"/>
              </w:rPr>
            </w:pPr>
          </w:p>
        </w:tc>
        <w:tc>
          <w:tcPr>
            <w:tcW w:w="2394" w:type="dxa"/>
          </w:tcPr>
          <w:p w14:paraId="5D879C44">
            <w:pPr>
              <w:spacing w:after="200" w:line="240" w:lineRule="auto"/>
              <w:jc w:val="both"/>
              <w:rPr>
                <w:rFonts w:ascii="Times New Roman" w:hAnsi="Times New Roman"/>
                <w:sz w:val="20"/>
                <w:szCs w:val="20"/>
              </w:rPr>
            </w:pPr>
            <w:r>
              <w:rPr>
                <w:rFonts w:ascii="Times New Roman" w:hAnsi="Times New Roman"/>
                <w:sz w:val="20"/>
                <w:szCs w:val="20"/>
              </w:rPr>
              <w:t>Generation of Solid Waste</w:t>
            </w:r>
          </w:p>
        </w:tc>
        <w:tc>
          <w:tcPr>
            <w:tcW w:w="2767" w:type="dxa"/>
          </w:tcPr>
          <w:p w14:paraId="3682CCCC">
            <w:pPr>
              <w:spacing w:after="200" w:line="240" w:lineRule="auto"/>
              <w:jc w:val="both"/>
              <w:rPr>
                <w:rFonts w:ascii="Times New Roman" w:hAnsi="Times New Roman"/>
                <w:sz w:val="20"/>
                <w:szCs w:val="20"/>
              </w:rPr>
            </w:pPr>
            <w:r>
              <w:rPr>
                <w:rFonts w:ascii="Times New Roman" w:hAnsi="Times New Roman"/>
                <w:sz w:val="20"/>
                <w:szCs w:val="20"/>
              </w:rPr>
              <w:t>Monitoring the amount and type of waste collected and properly disposed of.</w:t>
            </w:r>
          </w:p>
        </w:tc>
        <w:tc>
          <w:tcPr>
            <w:tcW w:w="3566" w:type="dxa"/>
          </w:tcPr>
          <w:p w14:paraId="52F77DC2">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 xml:space="preserve">Installing clearly marked waste bins with proper segregation </w:t>
            </w:r>
          </w:p>
          <w:p w14:paraId="7BA05889">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Partnering with local waste management services</w:t>
            </w:r>
          </w:p>
          <w:p w14:paraId="51717089">
            <w:pPr>
              <w:pStyle w:val="32"/>
              <w:numPr>
                <w:ilvl w:val="0"/>
                <w:numId w:val="6"/>
              </w:numPr>
              <w:spacing w:after="0" w:line="240" w:lineRule="auto"/>
              <w:jc w:val="both"/>
              <w:rPr>
                <w:rFonts w:ascii="Times New Roman" w:hAnsi="Times New Roman"/>
                <w:sz w:val="20"/>
                <w:szCs w:val="20"/>
              </w:rPr>
            </w:pPr>
            <w:r>
              <w:rPr>
                <w:rFonts w:ascii="Times New Roman" w:hAnsi="Times New Roman"/>
                <w:sz w:val="20"/>
                <w:szCs w:val="20"/>
              </w:rPr>
              <w:t>Signage encouraging responsible waste disposal.</w:t>
            </w:r>
          </w:p>
        </w:tc>
        <w:tc>
          <w:tcPr>
            <w:tcW w:w="1166" w:type="dxa"/>
          </w:tcPr>
          <w:p w14:paraId="07F71FD9">
            <w:pPr>
              <w:spacing w:after="200" w:line="240" w:lineRule="auto"/>
              <w:jc w:val="both"/>
              <w:rPr>
                <w:rFonts w:ascii="Times New Roman" w:hAnsi="Times New Roman"/>
                <w:sz w:val="20"/>
                <w:szCs w:val="20"/>
              </w:rPr>
            </w:pPr>
            <w:r>
              <w:rPr>
                <w:rFonts w:ascii="Times New Roman" w:hAnsi="Times New Roman"/>
                <w:sz w:val="20"/>
                <w:szCs w:val="20"/>
              </w:rPr>
              <w:t xml:space="preserve">Monthly </w:t>
            </w:r>
          </w:p>
        </w:tc>
        <w:tc>
          <w:tcPr>
            <w:tcW w:w="1500" w:type="dxa"/>
          </w:tcPr>
          <w:p w14:paraId="2E8D86C6">
            <w:pPr>
              <w:spacing w:after="0" w:line="240" w:lineRule="auto"/>
              <w:jc w:val="both"/>
              <w:rPr>
                <w:rFonts w:ascii="Times New Roman" w:hAnsi="Times New Roman"/>
                <w:sz w:val="20"/>
                <w:szCs w:val="20"/>
              </w:rPr>
            </w:pPr>
            <w:r>
              <w:rPr>
                <w:rFonts w:ascii="Times New Roman" w:hAnsi="Times New Roman"/>
                <w:sz w:val="20"/>
                <w:szCs w:val="20"/>
              </w:rPr>
              <w:t>NEMA</w:t>
            </w:r>
          </w:p>
          <w:p w14:paraId="06782397">
            <w:pPr>
              <w:spacing w:after="0" w:line="240" w:lineRule="auto"/>
              <w:jc w:val="both"/>
              <w:rPr>
                <w:rFonts w:ascii="Times New Roman" w:hAnsi="Times New Roman"/>
                <w:sz w:val="20"/>
                <w:szCs w:val="20"/>
              </w:rPr>
            </w:pPr>
            <w:r>
              <w:rPr>
                <w:rFonts w:ascii="Times New Roman" w:hAnsi="Times New Roman"/>
                <w:sz w:val="20"/>
                <w:szCs w:val="20"/>
              </w:rPr>
              <w:t>KIMAWASCO</w:t>
            </w:r>
          </w:p>
          <w:p w14:paraId="49F9FA2C">
            <w:pPr>
              <w:spacing w:after="200" w:line="240" w:lineRule="auto"/>
              <w:jc w:val="both"/>
              <w:rPr>
                <w:rFonts w:ascii="Times New Roman" w:hAnsi="Times New Roman"/>
                <w:sz w:val="20"/>
                <w:szCs w:val="20"/>
              </w:rPr>
            </w:pPr>
          </w:p>
        </w:tc>
        <w:tc>
          <w:tcPr>
            <w:tcW w:w="1500" w:type="dxa"/>
          </w:tcPr>
          <w:p w14:paraId="36C0BC7E">
            <w:pPr>
              <w:spacing w:after="200" w:line="240" w:lineRule="auto"/>
              <w:jc w:val="both"/>
              <w:rPr>
                <w:rFonts w:ascii="Times New Roman" w:hAnsi="Times New Roman"/>
                <w:sz w:val="20"/>
                <w:szCs w:val="20"/>
                <w:lang w:val="en-US"/>
              </w:rPr>
            </w:pPr>
            <w:r>
              <w:rPr>
                <w:rFonts w:ascii="Times New Roman" w:hAnsi="Times New Roman"/>
                <w:b/>
                <w:sz w:val="20"/>
                <w:szCs w:val="20"/>
                <w:lang w:val="en-US"/>
              </w:rPr>
              <w:t>2500.0</w:t>
            </w:r>
            <w:r>
              <w:rPr>
                <w:rFonts w:ascii="Times New Roman" w:hAnsi="Times New Roman"/>
                <w:sz w:val="20"/>
                <w:szCs w:val="20"/>
                <w:lang w:val="en-US"/>
              </w:rPr>
              <w:t xml:space="preserve">0 to cater for solid waste management such as colour coded bins (red-hazardous, yellow-recyclable &amp; green-organic); as well as sealed collection drums for used oil disposal. </w:t>
            </w:r>
          </w:p>
          <w:p w14:paraId="15FF4B2B">
            <w:pPr>
              <w:spacing w:after="200" w:line="240" w:lineRule="auto"/>
              <w:jc w:val="both"/>
              <w:rPr>
                <w:rFonts w:ascii="Times New Roman" w:hAnsi="Times New Roman"/>
                <w:sz w:val="20"/>
                <w:szCs w:val="20"/>
              </w:rPr>
            </w:pPr>
            <w:r>
              <w:rPr>
                <w:rFonts w:ascii="Times New Roman" w:hAnsi="Times New Roman"/>
                <w:b/>
                <w:sz w:val="20"/>
                <w:szCs w:val="20"/>
                <w:lang w:val="en-US"/>
              </w:rPr>
              <w:t>4,170.00</w:t>
            </w:r>
            <w:r>
              <w:rPr>
                <w:rFonts w:ascii="Times New Roman" w:hAnsi="Times New Roman"/>
                <w:sz w:val="20"/>
                <w:szCs w:val="20"/>
                <w:lang w:val="en-US"/>
              </w:rPr>
              <w:t xml:space="preserve"> cater for the capital of acquiring dustbins to be used during the operation period of the project. Other costs to be included in the O&amp;M Manual. </w:t>
            </w:r>
          </w:p>
        </w:tc>
      </w:tr>
    </w:tbl>
    <w:p w14:paraId="00B51DD5">
      <w:pPr>
        <w:spacing w:after="200" w:line="240" w:lineRule="auto"/>
        <w:jc w:val="both"/>
        <w:rPr>
          <w:rFonts w:ascii="Times New Roman" w:hAnsi="Times New Roman"/>
          <w:szCs w:val="24"/>
        </w:rPr>
        <w:sectPr>
          <w:footerReference r:id="rId10" w:type="default"/>
          <w:pgSz w:w="16838" w:h="11906" w:orient="landscape"/>
          <w:pgMar w:top="1764" w:right="1440" w:bottom="833" w:left="727" w:header="720" w:footer="720" w:gutter="0"/>
          <w:pgNumType w:fmt="lowerRoman"/>
          <w:cols w:space="720" w:num="1"/>
          <w:titlePg/>
          <w:docGrid w:linePitch="360" w:charSpace="0"/>
        </w:sectPr>
      </w:pPr>
    </w:p>
    <w:p w14:paraId="3F461AAB">
      <w:pPr>
        <w:pStyle w:val="19"/>
        <w:numPr>
          <w:ilvl w:val="0"/>
          <w:numId w:val="3"/>
        </w:numPr>
        <w:spacing w:line="240" w:lineRule="auto"/>
        <w:rPr>
          <w:rFonts w:ascii="Times New Roman" w:hAnsi="Times New Roman"/>
          <w:u w:val="single"/>
          <w:lang w:val="en-GB"/>
        </w:rPr>
      </w:pPr>
      <w:r>
        <w:rPr>
          <w:rFonts w:ascii="Times New Roman" w:hAnsi="Times New Roman"/>
          <w:u w:val="single"/>
          <w:lang w:val="en-GB"/>
        </w:rPr>
        <w:t xml:space="preserve">The ESMP Implementation Arrangements </w:t>
      </w:r>
    </w:p>
    <w:p w14:paraId="7F79E4FD">
      <w:pPr>
        <w:spacing w:after="0" w:line="240" w:lineRule="auto"/>
        <w:rPr>
          <w:rFonts w:ascii="Times New Roman" w:hAnsi="Times New Roman"/>
          <w:b/>
          <w:bCs/>
          <w:i/>
          <w:iCs/>
          <w:szCs w:val="24"/>
        </w:rPr>
      </w:pPr>
      <w:r>
        <w:rPr>
          <w:rFonts w:ascii="Times New Roman" w:hAnsi="Times New Roman"/>
          <w:b/>
          <w:bCs/>
          <w:i/>
          <w:iCs/>
          <w:szCs w:val="24"/>
        </w:rPr>
        <w:t xml:space="preserve">Water and Sanitation Project (WSP) responsibility </w:t>
      </w:r>
    </w:p>
    <w:p w14:paraId="0252C589">
      <w:pPr>
        <w:spacing w:after="0" w:line="240" w:lineRule="auto"/>
        <w:jc w:val="both"/>
        <w:rPr>
          <w:rFonts w:ascii="Times New Roman" w:hAnsi="Times New Roman"/>
          <w:szCs w:val="24"/>
        </w:rPr>
      </w:pPr>
      <w:r>
        <w:rPr>
          <w:rFonts w:ascii="Times New Roman" w:hAnsi="Times New Roman"/>
          <w:szCs w:val="24"/>
        </w:rPr>
        <w:t>Since the Water and Sanitation Project (WSP) has a dedicated team for environmental and social management, it has the capacity to monitor the Environmental and Social Management Plan (ESMP) effectively by</w:t>
      </w:r>
      <w:r>
        <w:rPr>
          <w:rFonts w:ascii="Times New Roman" w:hAnsi="Times New Roman"/>
          <w:szCs w:val="24"/>
          <w:lang w:val="en-US"/>
        </w:rPr>
        <w:t>:</w:t>
      </w:r>
    </w:p>
    <w:p w14:paraId="3C70C38E">
      <w:pPr>
        <w:pStyle w:val="32"/>
        <w:numPr>
          <w:ilvl w:val="0"/>
          <w:numId w:val="7"/>
        </w:numPr>
        <w:spacing w:line="240" w:lineRule="auto"/>
        <w:jc w:val="both"/>
        <w:rPr>
          <w:rFonts w:ascii="Times New Roman" w:hAnsi="Times New Roman"/>
          <w:szCs w:val="24"/>
        </w:rPr>
      </w:pPr>
      <w:r>
        <w:rPr>
          <w:rFonts w:ascii="Times New Roman" w:hAnsi="Times New Roman"/>
          <w:szCs w:val="24"/>
        </w:rPr>
        <w:t>Ensuring contractors follow ESMP requirements.</w:t>
      </w:r>
    </w:p>
    <w:p w14:paraId="4D0AED90">
      <w:pPr>
        <w:pStyle w:val="32"/>
        <w:numPr>
          <w:ilvl w:val="0"/>
          <w:numId w:val="7"/>
        </w:numPr>
        <w:spacing w:line="240" w:lineRule="auto"/>
        <w:jc w:val="both"/>
        <w:rPr>
          <w:rFonts w:ascii="Times New Roman" w:hAnsi="Times New Roman"/>
          <w:szCs w:val="24"/>
        </w:rPr>
      </w:pPr>
      <w:r>
        <w:rPr>
          <w:rFonts w:ascii="Times New Roman" w:hAnsi="Times New Roman"/>
          <w:szCs w:val="24"/>
        </w:rPr>
        <w:t xml:space="preserve">Monitoring adherence to environmental and social safeguards, as well as national and </w:t>
      </w:r>
      <w:r>
        <w:rPr>
          <w:rFonts w:ascii="Times New Roman" w:hAnsi="Times New Roman"/>
          <w:szCs w:val="24"/>
          <w:lang w:val="en-US"/>
        </w:rPr>
        <w:t>donor policies</w:t>
      </w:r>
      <w:r>
        <w:rPr>
          <w:rFonts w:ascii="Times New Roman" w:hAnsi="Times New Roman"/>
          <w:szCs w:val="24"/>
        </w:rPr>
        <w:t xml:space="preserve"> i.e. Environmental specialists will ensure that environmental safeguards are met, while social safeguard experts will maintain community relations and mitigate social risks.</w:t>
      </w:r>
    </w:p>
    <w:p w14:paraId="37488907">
      <w:pPr>
        <w:pStyle w:val="32"/>
        <w:numPr>
          <w:ilvl w:val="0"/>
          <w:numId w:val="7"/>
        </w:numPr>
        <w:spacing w:line="240" w:lineRule="auto"/>
        <w:jc w:val="both"/>
        <w:rPr>
          <w:rFonts w:ascii="Times New Roman" w:hAnsi="Times New Roman"/>
          <w:szCs w:val="24"/>
        </w:rPr>
      </w:pPr>
      <w:r>
        <w:rPr>
          <w:rFonts w:ascii="Times New Roman" w:hAnsi="Times New Roman"/>
          <w:szCs w:val="24"/>
        </w:rPr>
        <w:t>Reviewing reports and ensuring their environmental and social policies are upheld.</w:t>
      </w:r>
    </w:p>
    <w:p w14:paraId="74BD919B">
      <w:pPr>
        <w:spacing w:after="0" w:line="240" w:lineRule="auto"/>
        <w:rPr>
          <w:rFonts w:ascii="Times New Roman" w:hAnsi="Times New Roman"/>
          <w:b/>
          <w:bCs/>
          <w:i/>
          <w:iCs/>
          <w:szCs w:val="24"/>
        </w:rPr>
      </w:pPr>
      <w:r>
        <w:rPr>
          <w:rFonts w:ascii="Times New Roman" w:hAnsi="Times New Roman"/>
          <w:b/>
          <w:bCs/>
          <w:i/>
          <w:iCs/>
          <w:szCs w:val="24"/>
        </w:rPr>
        <w:t xml:space="preserve">Supervision Consultant Role </w:t>
      </w:r>
    </w:p>
    <w:p w14:paraId="2787CCC3">
      <w:pPr>
        <w:spacing w:after="0" w:line="240" w:lineRule="auto"/>
        <w:rPr>
          <w:rFonts w:ascii="Times New Roman" w:hAnsi="Times New Roman"/>
          <w:szCs w:val="24"/>
        </w:rPr>
      </w:pPr>
      <w:r>
        <w:rPr>
          <w:rFonts w:ascii="Times New Roman" w:hAnsi="Times New Roman"/>
          <w:szCs w:val="24"/>
        </w:rPr>
        <w:t>The supervision consultant will be required to have an Environmental and Social (E&amp;S) specialist to ensure the effective implementation of the Environmental and Social Management Plan (ESMP). Their role will include:</w:t>
      </w:r>
    </w:p>
    <w:p w14:paraId="1FC72C95">
      <w:pPr>
        <w:pStyle w:val="32"/>
        <w:numPr>
          <w:ilvl w:val="0"/>
          <w:numId w:val="8"/>
        </w:numPr>
        <w:spacing w:line="240" w:lineRule="auto"/>
        <w:jc w:val="both"/>
        <w:rPr>
          <w:rFonts w:ascii="Times New Roman" w:hAnsi="Times New Roman"/>
          <w:szCs w:val="24"/>
        </w:rPr>
      </w:pPr>
      <w:r>
        <w:rPr>
          <w:rFonts w:ascii="Times New Roman" w:hAnsi="Times New Roman"/>
          <w:szCs w:val="24"/>
        </w:rPr>
        <w:t>Oversee that contractors adhere to environmental and social safeguard measures.</w:t>
      </w:r>
    </w:p>
    <w:p w14:paraId="37061E81">
      <w:pPr>
        <w:pStyle w:val="32"/>
        <w:numPr>
          <w:ilvl w:val="0"/>
          <w:numId w:val="8"/>
        </w:numPr>
        <w:spacing w:line="240" w:lineRule="auto"/>
        <w:jc w:val="both"/>
        <w:rPr>
          <w:rFonts w:ascii="Times New Roman" w:hAnsi="Times New Roman"/>
          <w:szCs w:val="24"/>
        </w:rPr>
      </w:pPr>
      <w:r>
        <w:rPr>
          <w:rFonts w:ascii="Times New Roman" w:hAnsi="Times New Roman"/>
          <w:szCs w:val="24"/>
        </w:rPr>
        <w:t>Monitor project activities, identify risks, and recommend corrective actions.</w:t>
      </w:r>
    </w:p>
    <w:p w14:paraId="00CD148E">
      <w:pPr>
        <w:pStyle w:val="32"/>
        <w:numPr>
          <w:ilvl w:val="0"/>
          <w:numId w:val="8"/>
        </w:numPr>
        <w:spacing w:line="240" w:lineRule="auto"/>
        <w:jc w:val="both"/>
        <w:rPr>
          <w:rFonts w:ascii="Times New Roman" w:hAnsi="Times New Roman"/>
          <w:szCs w:val="24"/>
        </w:rPr>
      </w:pPr>
      <w:r>
        <w:rPr>
          <w:rFonts w:ascii="Times New Roman" w:hAnsi="Times New Roman"/>
          <w:szCs w:val="24"/>
        </w:rPr>
        <w:t>Assess contractor-submitted environmental and social management plans for alignment with ESMP requirements.</w:t>
      </w:r>
    </w:p>
    <w:p w14:paraId="569A4F52">
      <w:pPr>
        <w:pStyle w:val="32"/>
        <w:numPr>
          <w:ilvl w:val="0"/>
          <w:numId w:val="8"/>
        </w:numPr>
        <w:spacing w:line="240" w:lineRule="auto"/>
        <w:jc w:val="both"/>
        <w:rPr>
          <w:rFonts w:ascii="Times New Roman" w:hAnsi="Times New Roman"/>
          <w:szCs w:val="24"/>
        </w:rPr>
      </w:pPr>
      <w:r>
        <w:rPr>
          <w:rFonts w:ascii="Times New Roman" w:hAnsi="Times New Roman"/>
          <w:szCs w:val="24"/>
        </w:rPr>
        <w:t>Ensure worker and public safety measures are in place.</w:t>
      </w:r>
    </w:p>
    <w:p w14:paraId="78E1DE6B">
      <w:pPr>
        <w:pStyle w:val="32"/>
        <w:numPr>
          <w:ilvl w:val="0"/>
          <w:numId w:val="8"/>
        </w:numPr>
        <w:spacing w:line="240" w:lineRule="auto"/>
        <w:jc w:val="both"/>
        <w:rPr>
          <w:rFonts w:ascii="Times New Roman" w:hAnsi="Times New Roman"/>
          <w:szCs w:val="24"/>
        </w:rPr>
      </w:pPr>
      <w:r>
        <w:rPr>
          <w:rFonts w:ascii="Times New Roman" w:hAnsi="Times New Roman"/>
          <w:szCs w:val="24"/>
        </w:rPr>
        <w:t>Address grievances from local communities and ensure stakeholder engagement.</w:t>
      </w:r>
    </w:p>
    <w:p w14:paraId="0C1EAE2E">
      <w:pPr>
        <w:pStyle w:val="32"/>
        <w:numPr>
          <w:ilvl w:val="0"/>
          <w:numId w:val="8"/>
        </w:numPr>
        <w:spacing w:line="240" w:lineRule="auto"/>
        <w:jc w:val="both"/>
        <w:rPr>
          <w:rFonts w:ascii="Times New Roman" w:hAnsi="Times New Roman"/>
          <w:szCs w:val="24"/>
        </w:rPr>
      </w:pPr>
      <w:r>
        <w:rPr>
          <w:rFonts w:ascii="Times New Roman" w:hAnsi="Times New Roman"/>
          <w:szCs w:val="24"/>
        </w:rPr>
        <w:t>Provide reports and updates to the WSP’s environmental and social team.</w:t>
      </w:r>
    </w:p>
    <w:p w14:paraId="100CBF34">
      <w:pPr>
        <w:pStyle w:val="32"/>
        <w:numPr>
          <w:ilvl w:val="0"/>
          <w:numId w:val="8"/>
        </w:numPr>
        <w:spacing w:line="240" w:lineRule="auto"/>
        <w:jc w:val="both"/>
        <w:rPr>
          <w:rFonts w:ascii="Times New Roman" w:hAnsi="Times New Roman"/>
          <w:szCs w:val="24"/>
        </w:rPr>
      </w:pPr>
      <w:r>
        <w:rPr>
          <w:rFonts w:ascii="Times New Roman" w:hAnsi="Times New Roman"/>
          <w:szCs w:val="24"/>
        </w:rPr>
        <w:t>Document findings and submit reports to the relevant Project Coordinating Teams agencies.</w:t>
      </w:r>
    </w:p>
    <w:p w14:paraId="540FF2F9">
      <w:pPr>
        <w:spacing w:line="240" w:lineRule="auto"/>
        <w:rPr>
          <w:rFonts w:ascii="Times New Roman" w:hAnsi="Times New Roman"/>
          <w:b/>
          <w:bCs/>
          <w:i/>
          <w:iCs/>
          <w:szCs w:val="24"/>
        </w:rPr>
      </w:pPr>
      <w:r>
        <w:rPr>
          <w:rFonts w:ascii="Times New Roman" w:hAnsi="Times New Roman"/>
          <w:b/>
          <w:bCs/>
          <w:i/>
          <w:iCs/>
          <w:szCs w:val="24"/>
        </w:rPr>
        <w:t>Contractor’s Safeguards’ Team</w:t>
      </w:r>
    </w:p>
    <w:p w14:paraId="02E9266F">
      <w:pPr>
        <w:pStyle w:val="32"/>
        <w:numPr>
          <w:ilvl w:val="0"/>
          <w:numId w:val="9"/>
        </w:numPr>
        <w:spacing w:line="240" w:lineRule="auto"/>
        <w:jc w:val="both"/>
        <w:rPr>
          <w:rFonts w:ascii="Times New Roman" w:hAnsi="Times New Roman"/>
          <w:szCs w:val="24"/>
        </w:rPr>
      </w:pPr>
      <w:r>
        <w:rPr>
          <w:rFonts w:ascii="Times New Roman" w:hAnsi="Times New Roman"/>
          <w:szCs w:val="24"/>
        </w:rPr>
        <w:t>Ensuring all environmental and social mitigation measures outlined in the ESMP are properly executed.</w:t>
      </w:r>
    </w:p>
    <w:p w14:paraId="457419FC">
      <w:pPr>
        <w:pStyle w:val="32"/>
        <w:numPr>
          <w:ilvl w:val="0"/>
          <w:numId w:val="9"/>
        </w:numPr>
        <w:spacing w:line="240" w:lineRule="auto"/>
        <w:jc w:val="both"/>
        <w:rPr>
          <w:rFonts w:ascii="Times New Roman" w:hAnsi="Times New Roman"/>
          <w:szCs w:val="24"/>
        </w:rPr>
      </w:pPr>
      <w:r>
        <w:rPr>
          <w:rFonts w:ascii="Times New Roman" w:hAnsi="Times New Roman"/>
          <w:szCs w:val="24"/>
        </w:rPr>
        <w:t>Ensuring that project activities comply with national environmental regulations, donor requirements, and site-specific environmental and social safeguards.</w:t>
      </w:r>
    </w:p>
    <w:p w14:paraId="1215B217">
      <w:pPr>
        <w:pStyle w:val="32"/>
        <w:numPr>
          <w:ilvl w:val="0"/>
          <w:numId w:val="9"/>
        </w:numPr>
        <w:spacing w:line="240" w:lineRule="auto"/>
        <w:jc w:val="both"/>
        <w:rPr>
          <w:rFonts w:ascii="Times New Roman" w:hAnsi="Times New Roman"/>
          <w:szCs w:val="24"/>
        </w:rPr>
      </w:pPr>
      <w:r>
        <w:rPr>
          <w:rFonts w:ascii="Times New Roman" w:hAnsi="Times New Roman"/>
          <w:szCs w:val="24"/>
        </w:rPr>
        <w:t>Implementing and enforcing occupational health and safety (OHS) protocols to protect workers and the surrounding community.</w:t>
      </w:r>
    </w:p>
    <w:p w14:paraId="655DE928">
      <w:pPr>
        <w:pStyle w:val="32"/>
        <w:numPr>
          <w:ilvl w:val="0"/>
          <w:numId w:val="9"/>
        </w:numPr>
        <w:spacing w:line="240" w:lineRule="auto"/>
        <w:jc w:val="both"/>
        <w:rPr>
          <w:rFonts w:ascii="Times New Roman" w:hAnsi="Times New Roman"/>
          <w:szCs w:val="24"/>
        </w:rPr>
      </w:pPr>
      <w:r>
        <w:rPr>
          <w:rFonts w:ascii="Times New Roman" w:hAnsi="Times New Roman"/>
          <w:szCs w:val="24"/>
        </w:rPr>
        <w:t>Conducting regular environmental and social monitoring, maintaining records, and submitting compliance reports to the supervision consultant and the PCU</w:t>
      </w:r>
    </w:p>
    <w:p w14:paraId="5EC68456">
      <w:pPr>
        <w:pStyle w:val="32"/>
        <w:numPr>
          <w:ilvl w:val="0"/>
          <w:numId w:val="9"/>
        </w:numPr>
        <w:spacing w:line="240" w:lineRule="auto"/>
        <w:jc w:val="both"/>
        <w:rPr>
          <w:rFonts w:ascii="Times New Roman" w:hAnsi="Times New Roman"/>
          <w:szCs w:val="24"/>
        </w:rPr>
      </w:pPr>
      <w:r>
        <w:rPr>
          <w:rFonts w:ascii="Times New Roman" w:hAnsi="Times New Roman"/>
          <w:szCs w:val="24"/>
        </w:rPr>
        <w:t>Ensuring proper waste disposal, erosion control, dust suppression, noise reduction, and other pollution prevention measures.</w:t>
      </w:r>
    </w:p>
    <w:p w14:paraId="00CFCB29">
      <w:pPr>
        <w:pStyle w:val="32"/>
        <w:numPr>
          <w:ilvl w:val="0"/>
          <w:numId w:val="9"/>
        </w:numPr>
        <w:spacing w:line="240" w:lineRule="auto"/>
        <w:jc w:val="both"/>
        <w:rPr>
          <w:rFonts w:ascii="Times New Roman" w:hAnsi="Times New Roman"/>
          <w:szCs w:val="24"/>
        </w:rPr>
      </w:pPr>
      <w:r>
        <w:rPr>
          <w:rFonts w:ascii="Times New Roman" w:hAnsi="Times New Roman"/>
          <w:szCs w:val="24"/>
        </w:rPr>
        <w:t>Engaging with the local community, addressing concerns, and managing grievances as per the project's grievance redress mechanism.</w:t>
      </w:r>
    </w:p>
    <w:p w14:paraId="3EB1974C">
      <w:pPr>
        <w:pStyle w:val="32"/>
        <w:numPr>
          <w:ilvl w:val="0"/>
          <w:numId w:val="9"/>
        </w:numPr>
        <w:spacing w:line="240" w:lineRule="auto"/>
        <w:jc w:val="both"/>
        <w:rPr>
          <w:rFonts w:ascii="Times New Roman" w:hAnsi="Times New Roman"/>
          <w:szCs w:val="24"/>
        </w:rPr>
      </w:pPr>
      <w:r>
        <w:rPr>
          <w:rFonts w:ascii="Times New Roman" w:hAnsi="Times New Roman"/>
          <w:szCs w:val="24"/>
        </w:rPr>
        <w:t>Conducting environmental and social awareness training for workers to promote compliance with safeguards.</w:t>
      </w:r>
    </w:p>
    <w:p w14:paraId="3E060951">
      <w:pPr>
        <w:pStyle w:val="32"/>
        <w:numPr>
          <w:ilvl w:val="0"/>
          <w:numId w:val="9"/>
        </w:numPr>
        <w:spacing w:line="240" w:lineRule="auto"/>
        <w:jc w:val="both"/>
        <w:rPr>
          <w:rFonts w:ascii="Times New Roman" w:hAnsi="Times New Roman"/>
          <w:szCs w:val="24"/>
        </w:rPr>
      </w:pPr>
      <w:r>
        <w:rPr>
          <w:rFonts w:ascii="Times New Roman" w:hAnsi="Times New Roman"/>
          <w:szCs w:val="24"/>
        </w:rPr>
        <w:t>Developing and implementing emergency response plans to handle environmental, health, and safety incidents.</w:t>
      </w:r>
    </w:p>
    <w:p w14:paraId="08A02B0A">
      <w:pPr>
        <w:pStyle w:val="19"/>
        <w:numPr>
          <w:ilvl w:val="0"/>
          <w:numId w:val="3"/>
        </w:numPr>
        <w:spacing w:line="240" w:lineRule="auto"/>
        <w:rPr>
          <w:rFonts w:ascii="Times New Roman" w:hAnsi="Times New Roman"/>
          <w:lang w:val="en-GB"/>
        </w:rPr>
      </w:pPr>
      <w:r>
        <w:rPr>
          <w:rFonts w:ascii="Times New Roman" w:hAnsi="Times New Roman"/>
          <w:lang w:val="en-GB"/>
        </w:rPr>
        <w:t xml:space="preserve">Reporting </w:t>
      </w:r>
    </w:p>
    <w:p w14:paraId="039FE478">
      <w:pPr>
        <w:spacing w:line="240" w:lineRule="auto"/>
        <w:jc w:val="both"/>
        <w:rPr>
          <w:rFonts w:ascii="Times New Roman" w:hAnsi="Times New Roman"/>
          <w:szCs w:val="24"/>
        </w:rPr>
      </w:pPr>
      <w:r>
        <w:rPr>
          <w:rFonts w:ascii="Times New Roman" w:hAnsi="Times New Roman"/>
          <w:szCs w:val="24"/>
        </w:rPr>
        <w:t>The contractor will be required to submit regular reports to ensure compliance with the Environmental and Social Management Plan (ESMP). These reports will provide updates on environmental and social performance, mitigation measures, and any incidents occurring during project implementation. The required reports and their submission frequency include:</w:t>
      </w:r>
    </w:p>
    <w:p w14:paraId="280C8E29">
      <w:pPr>
        <w:pStyle w:val="32"/>
        <w:numPr>
          <w:ilvl w:val="0"/>
          <w:numId w:val="10"/>
        </w:numPr>
        <w:spacing w:line="240" w:lineRule="auto"/>
        <w:rPr>
          <w:rFonts w:ascii="Times New Roman" w:hAnsi="Times New Roman"/>
          <w:szCs w:val="24"/>
        </w:rPr>
      </w:pPr>
      <w:r>
        <w:rPr>
          <w:rFonts w:ascii="Times New Roman" w:hAnsi="Times New Roman"/>
          <w:szCs w:val="24"/>
        </w:rPr>
        <w:t>Contractor's ESMP (C-ESMP) Compliance monthly Report which will cover the contractor’s adherence to the ESMP, including:</w:t>
      </w:r>
    </w:p>
    <w:p w14:paraId="04B68813">
      <w:pPr>
        <w:pStyle w:val="32"/>
        <w:numPr>
          <w:ilvl w:val="0"/>
          <w:numId w:val="11"/>
        </w:numPr>
        <w:spacing w:line="240" w:lineRule="auto"/>
        <w:rPr>
          <w:rFonts w:ascii="Times New Roman" w:hAnsi="Times New Roman"/>
          <w:szCs w:val="24"/>
        </w:rPr>
      </w:pPr>
      <w:r>
        <w:rPr>
          <w:rFonts w:ascii="Times New Roman" w:hAnsi="Times New Roman"/>
          <w:szCs w:val="24"/>
        </w:rPr>
        <w:t>Environmental and social mitigation measures implemented.</w:t>
      </w:r>
    </w:p>
    <w:p w14:paraId="698EF7D3">
      <w:pPr>
        <w:pStyle w:val="32"/>
        <w:numPr>
          <w:ilvl w:val="0"/>
          <w:numId w:val="11"/>
        </w:numPr>
        <w:spacing w:line="240" w:lineRule="auto"/>
        <w:rPr>
          <w:rFonts w:ascii="Times New Roman" w:hAnsi="Times New Roman"/>
          <w:szCs w:val="24"/>
        </w:rPr>
      </w:pPr>
      <w:r>
        <w:rPr>
          <w:rFonts w:ascii="Times New Roman" w:hAnsi="Times New Roman"/>
          <w:szCs w:val="24"/>
        </w:rPr>
        <w:t>Compliance with occupational health and safety requirements.</w:t>
      </w:r>
    </w:p>
    <w:p w14:paraId="2CC638F6">
      <w:pPr>
        <w:pStyle w:val="32"/>
        <w:numPr>
          <w:ilvl w:val="0"/>
          <w:numId w:val="11"/>
        </w:numPr>
        <w:spacing w:line="240" w:lineRule="auto"/>
        <w:rPr>
          <w:rFonts w:ascii="Times New Roman" w:hAnsi="Times New Roman"/>
          <w:szCs w:val="24"/>
        </w:rPr>
      </w:pPr>
      <w:r>
        <w:rPr>
          <w:rFonts w:ascii="Times New Roman" w:hAnsi="Times New Roman"/>
          <w:szCs w:val="24"/>
        </w:rPr>
        <w:t>Grievance redress mechanism updates.</w:t>
      </w:r>
    </w:p>
    <w:p w14:paraId="4B841101">
      <w:pPr>
        <w:pStyle w:val="32"/>
        <w:numPr>
          <w:ilvl w:val="0"/>
          <w:numId w:val="11"/>
        </w:numPr>
        <w:spacing w:line="240" w:lineRule="auto"/>
        <w:rPr>
          <w:rFonts w:ascii="Times New Roman" w:hAnsi="Times New Roman"/>
          <w:szCs w:val="24"/>
        </w:rPr>
      </w:pPr>
      <w:r>
        <w:rPr>
          <w:rFonts w:ascii="Times New Roman" w:hAnsi="Times New Roman"/>
          <w:szCs w:val="24"/>
        </w:rPr>
        <w:t>Waste management practices.</w:t>
      </w:r>
    </w:p>
    <w:p w14:paraId="248D32D3">
      <w:pPr>
        <w:pStyle w:val="32"/>
        <w:numPr>
          <w:ilvl w:val="0"/>
          <w:numId w:val="11"/>
        </w:numPr>
        <w:spacing w:line="240" w:lineRule="auto"/>
        <w:rPr>
          <w:rFonts w:ascii="Times New Roman" w:hAnsi="Times New Roman"/>
          <w:szCs w:val="24"/>
        </w:rPr>
      </w:pPr>
      <w:r>
        <w:rPr>
          <w:rFonts w:ascii="Times New Roman" w:hAnsi="Times New Roman"/>
          <w:szCs w:val="24"/>
        </w:rPr>
        <w:t>Workplace safety, PPE compliance, and health-related incidents.</w:t>
      </w:r>
    </w:p>
    <w:p w14:paraId="57E38BDD">
      <w:pPr>
        <w:pStyle w:val="32"/>
        <w:numPr>
          <w:ilvl w:val="0"/>
          <w:numId w:val="11"/>
        </w:numPr>
        <w:spacing w:line="240" w:lineRule="auto"/>
        <w:rPr>
          <w:rFonts w:ascii="Times New Roman" w:hAnsi="Times New Roman"/>
          <w:szCs w:val="24"/>
        </w:rPr>
      </w:pPr>
      <w:r>
        <w:rPr>
          <w:rFonts w:ascii="Times New Roman" w:hAnsi="Times New Roman"/>
          <w:szCs w:val="24"/>
        </w:rPr>
        <w:t>Any corrective actions taken to address non-compliance.</w:t>
      </w:r>
    </w:p>
    <w:p w14:paraId="4F797480">
      <w:pPr>
        <w:pStyle w:val="32"/>
        <w:spacing w:line="240" w:lineRule="auto"/>
        <w:ind w:left="1440"/>
        <w:rPr>
          <w:rFonts w:ascii="Times New Roman" w:hAnsi="Times New Roman"/>
          <w:szCs w:val="24"/>
        </w:rPr>
      </w:pPr>
    </w:p>
    <w:p w14:paraId="01773CD4">
      <w:pPr>
        <w:pStyle w:val="32"/>
        <w:numPr>
          <w:ilvl w:val="0"/>
          <w:numId w:val="10"/>
        </w:numPr>
        <w:spacing w:line="240" w:lineRule="auto"/>
        <w:rPr>
          <w:rFonts w:ascii="Times New Roman" w:hAnsi="Times New Roman"/>
          <w:szCs w:val="24"/>
        </w:rPr>
      </w:pPr>
      <w:r>
        <w:rPr>
          <w:rFonts w:ascii="Times New Roman" w:hAnsi="Times New Roman"/>
          <w:szCs w:val="24"/>
        </w:rPr>
        <w:t>Monthly Labor Tracking Document which will provide details on:</w:t>
      </w:r>
    </w:p>
    <w:p w14:paraId="56653AD3">
      <w:pPr>
        <w:pStyle w:val="32"/>
        <w:numPr>
          <w:ilvl w:val="0"/>
          <w:numId w:val="11"/>
        </w:numPr>
        <w:spacing w:line="240" w:lineRule="auto"/>
        <w:rPr>
          <w:rFonts w:ascii="Times New Roman" w:hAnsi="Times New Roman"/>
          <w:szCs w:val="24"/>
        </w:rPr>
      </w:pPr>
      <w:r>
        <w:rPr>
          <w:rFonts w:ascii="Times New Roman" w:hAnsi="Times New Roman"/>
          <w:szCs w:val="24"/>
        </w:rPr>
        <w:t>Workforce numbers and composition (gender, skill levels, etc.).</w:t>
      </w:r>
    </w:p>
    <w:p w14:paraId="048E9822">
      <w:pPr>
        <w:pStyle w:val="32"/>
        <w:numPr>
          <w:ilvl w:val="0"/>
          <w:numId w:val="11"/>
        </w:numPr>
        <w:spacing w:line="240" w:lineRule="auto"/>
        <w:rPr>
          <w:rFonts w:ascii="Times New Roman" w:hAnsi="Times New Roman"/>
          <w:szCs w:val="24"/>
        </w:rPr>
      </w:pPr>
      <w:r>
        <w:rPr>
          <w:rFonts w:ascii="Times New Roman" w:hAnsi="Times New Roman"/>
          <w:szCs w:val="24"/>
        </w:rPr>
        <w:t>Working hours, wages, and contract conditions.</w:t>
      </w:r>
    </w:p>
    <w:p w14:paraId="6D6F095F">
      <w:pPr>
        <w:pStyle w:val="32"/>
        <w:numPr>
          <w:ilvl w:val="0"/>
          <w:numId w:val="11"/>
        </w:numPr>
        <w:spacing w:line="240" w:lineRule="auto"/>
        <w:rPr>
          <w:rFonts w:ascii="Times New Roman" w:hAnsi="Times New Roman"/>
          <w:szCs w:val="24"/>
        </w:rPr>
      </w:pPr>
      <w:r>
        <w:rPr>
          <w:rFonts w:ascii="Times New Roman" w:hAnsi="Times New Roman"/>
          <w:szCs w:val="24"/>
        </w:rPr>
        <w:t>Compliance with labour laws and standards.</w:t>
      </w:r>
    </w:p>
    <w:p w14:paraId="57C7641E">
      <w:pPr>
        <w:pStyle w:val="32"/>
        <w:spacing w:line="240" w:lineRule="auto"/>
        <w:ind w:left="1440"/>
        <w:rPr>
          <w:rFonts w:ascii="Times New Roman" w:hAnsi="Times New Roman"/>
          <w:szCs w:val="24"/>
        </w:rPr>
      </w:pPr>
    </w:p>
    <w:p w14:paraId="1758AE3D">
      <w:pPr>
        <w:pStyle w:val="32"/>
        <w:numPr>
          <w:ilvl w:val="0"/>
          <w:numId w:val="10"/>
        </w:numPr>
        <w:spacing w:line="240" w:lineRule="auto"/>
        <w:rPr>
          <w:rFonts w:ascii="Times New Roman" w:hAnsi="Times New Roman"/>
          <w:szCs w:val="24"/>
        </w:rPr>
      </w:pPr>
      <w:r>
        <w:rPr>
          <w:rFonts w:ascii="Times New Roman" w:hAnsi="Times New Roman"/>
          <w:szCs w:val="24"/>
        </w:rPr>
        <w:t>Incident Reports (Immediately, As Needed)</w:t>
      </w:r>
    </w:p>
    <w:p w14:paraId="40211DBF">
      <w:pPr>
        <w:pStyle w:val="8"/>
        <w:numPr>
          <w:ilvl w:val="0"/>
          <w:numId w:val="12"/>
        </w:num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Reports any accidents, environmental spills, safety violations, or social conflicts.</w:t>
      </w:r>
    </w:p>
    <w:p w14:paraId="517EFC15">
      <w:pPr>
        <w:pStyle w:val="8"/>
        <w:numPr>
          <w:ilvl w:val="0"/>
          <w:numId w:val="12"/>
        </w:num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Includes root cause analysis, corrective measures, and preventive actions</w:t>
      </w:r>
    </w:p>
    <w:p w14:paraId="0F99875A">
      <w:pPr>
        <w:spacing w:line="240" w:lineRule="auto"/>
        <w:rPr>
          <w:rFonts w:ascii="Times New Roman" w:hAnsi="Times New Roman"/>
          <w:szCs w:val="24"/>
        </w:rPr>
      </w:pPr>
    </w:p>
    <w:p w14:paraId="0FEA3362">
      <w:pPr>
        <w:spacing w:line="240" w:lineRule="auto"/>
        <w:rPr>
          <w:rFonts w:ascii="Times New Roman" w:hAnsi="Times New Roman"/>
          <w:szCs w:val="24"/>
        </w:rPr>
      </w:pPr>
    </w:p>
    <w:p w14:paraId="26C1E61C">
      <w:pPr>
        <w:spacing w:after="0" w:line="240" w:lineRule="auto"/>
        <w:rPr>
          <w:rFonts w:ascii="Times New Roman" w:hAnsi="Times New Roman"/>
          <w:szCs w:val="24"/>
        </w:rPr>
      </w:pPr>
      <w:r>
        <w:rPr>
          <w:rFonts w:ascii="Times New Roman" w:hAnsi="Times New Roman"/>
          <w:szCs w:val="24"/>
        </w:rPr>
        <w:br w:type="page"/>
      </w:r>
    </w:p>
    <w:p w14:paraId="77A579CA">
      <w:pPr>
        <w:spacing w:line="240" w:lineRule="auto"/>
        <w:jc w:val="center"/>
        <w:rPr>
          <w:rFonts w:ascii="Times New Roman" w:hAnsi="Times New Roman"/>
          <w:b/>
          <w:szCs w:val="24"/>
        </w:rPr>
      </w:pPr>
      <w:r>
        <w:rPr>
          <w:rFonts w:ascii="Times New Roman" w:hAnsi="Times New Roman"/>
          <w:b/>
          <w:szCs w:val="24"/>
        </w:rPr>
        <w:t>Table of Contents</w:t>
      </w:r>
    </w:p>
    <w:p w14:paraId="223E2E60">
      <w:pPr>
        <w:pStyle w:val="24"/>
        <w:tabs>
          <w:tab w:val="right" w:leader="dot" w:pos="9016"/>
        </w:tabs>
        <w:rPr>
          <w:rFonts w:ascii="Times New Roman" w:hAnsi="Times New Roman" w:eastAsiaTheme="minorEastAsia"/>
          <w:kern w:val="2"/>
          <w:szCs w:val="24"/>
          <w:lang w:val="en-US" w:eastAsia="zh-CN"/>
        </w:rPr>
      </w:pPr>
      <w:r>
        <w:rPr>
          <w:rFonts w:ascii="Times New Roman" w:hAnsi="Times New Roman"/>
          <w:szCs w:val="24"/>
        </w:rPr>
        <w:fldChar w:fldCharType="begin"/>
      </w:r>
      <w:r>
        <w:rPr>
          <w:rFonts w:ascii="Times New Roman" w:hAnsi="Times New Roman"/>
          <w:szCs w:val="24"/>
        </w:rPr>
        <w:instrText xml:space="preserve"> TOC \o "1-3" \h \z \u </w:instrText>
      </w:r>
      <w:r>
        <w:rPr>
          <w:rFonts w:ascii="Times New Roman" w:hAnsi="Times New Roman"/>
          <w:szCs w:val="24"/>
        </w:rPr>
        <w:fldChar w:fldCharType="separate"/>
      </w:r>
      <w:r>
        <w:fldChar w:fldCharType="begin"/>
      </w:r>
      <w:r>
        <w:instrText xml:space="preserve"> HYPERLINK \l "_Toc220710776" </w:instrText>
      </w:r>
      <w:r>
        <w:fldChar w:fldCharType="separate"/>
      </w:r>
      <w:r>
        <w:rPr>
          <w:rStyle w:val="16"/>
          <w:rFonts w:ascii="Times New Roman" w:hAnsi="Times New Roman"/>
          <w:color w:val="auto"/>
        </w:rPr>
        <w:t>Declaration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_Toc220710776 \h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r>
        <w:rPr>
          <w:rFonts w:ascii="Times New Roman" w:hAnsi="Times New Roman"/>
        </w:rPr>
        <w:fldChar w:fldCharType="end"/>
      </w:r>
    </w:p>
    <w:p w14:paraId="4685D33E">
      <w:pPr>
        <w:pStyle w:val="23"/>
        <w:tabs>
          <w:tab w:val="right" w:leader="dot" w:pos="9016"/>
        </w:tabs>
        <w:rPr>
          <w:rFonts w:ascii="Times New Roman" w:hAnsi="Times New Roman" w:eastAsiaTheme="minorEastAsia"/>
          <w:kern w:val="2"/>
          <w:szCs w:val="24"/>
          <w:lang w:val="en-US" w:eastAsia="zh-CN"/>
        </w:rPr>
      </w:pPr>
      <w:r>
        <w:fldChar w:fldCharType="begin"/>
      </w:r>
      <w:r>
        <w:instrText xml:space="preserve"> HYPERLINK \l "_Toc220710777" </w:instrText>
      </w:r>
      <w:r>
        <w:fldChar w:fldCharType="separate"/>
      </w:r>
      <w:r>
        <w:rPr>
          <w:rStyle w:val="16"/>
          <w:rFonts w:ascii="Times New Roman" w:hAnsi="Times New Roman"/>
          <w:color w:val="auto"/>
        </w:rPr>
        <w:t>NON- TECHNICAL EXECUTIVE SUMMARY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_Toc220710777 \h </w:instrText>
      </w:r>
      <w:r>
        <w:rPr>
          <w:rFonts w:ascii="Times New Roman" w:hAnsi="Times New Roman"/>
        </w:rPr>
        <w:fldChar w:fldCharType="separate"/>
      </w:r>
      <w:r>
        <w:rPr>
          <w:rFonts w:ascii="Times New Roman" w:hAnsi="Times New Roman"/>
        </w:rPr>
        <w:t>iii</w:t>
      </w:r>
      <w:r>
        <w:rPr>
          <w:rFonts w:ascii="Times New Roman" w:hAnsi="Times New Roman"/>
        </w:rPr>
        <w:fldChar w:fldCharType="end"/>
      </w:r>
      <w:r>
        <w:rPr>
          <w:rFonts w:ascii="Times New Roman" w:hAnsi="Times New Roman"/>
        </w:rPr>
        <w:fldChar w:fldCharType="end"/>
      </w:r>
    </w:p>
    <w:p w14:paraId="1705DE79">
      <w:pPr>
        <w:pStyle w:val="23"/>
        <w:tabs>
          <w:tab w:val="left" w:pos="440"/>
          <w:tab w:val="right" w:leader="dot" w:pos="9016"/>
        </w:tabs>
        <w:rPr>
          <w:rFonts w:ascii="Times New Roman" w:hAnsi="Times New Roman" w:eastAsiaTheme="minorEastAsia"/>
          <w:kern w:val="2"/>
          <w:szCs w:val="24"/>
          <w:lang w:val="en-US" w:eastAsia="zh-CN"/>
        </w:rPr>
      </w:pPr>
      <w:r>
        <w:fldChar w:fldCharType="begin"/>
      </w:r>
      <w:r>
        <w:instrText xml:space="preserve"> HYPERLINK \l "_Toc220710778" </w:instrText>
      </w:r>
      <w:r>
        <w:fldChar w:fldCharType="separate"/>
      </w:r>
      <w:r>
        <w:rPr>
          <w:rStyle w:val="16"/>
          <w:rFonts w:ascii="Times New Roman" w:hAnsi="Times New Roman"/>
          <w:bCs/>
          <w:color w:val="auto"/>
        </w:rPr>
        <w:t>1</w:t>
      </w:r>
      <w:r>
        <w:rPr>
          <w:rFonts w:ascii="Times New Roman" w:hAnsi="Times New Roman" w:eastAsiaTheme="minorEastAsia"/>
          <w:kern w:val="2"/>
          <w:szCs w:val="24"/>
          <w:lang w:val="en-US" w:eastAsia="zh-CN"/>
        </w:rPr>
        <w:tab/>
      </w:r>
      <w:r>
        <w:rPr>
          <w:rStyle w:val="16"/>
          <w:rFonts w:ascii="Times New Roman" w:hAnsi="Times New Roman"/>
          <w:color w:val="auto"/>
        </w:rPr>
        <w:t>INTRODUCTION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_Toc220710778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14:paraId="57347F7A">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"_Toc220710779" </w:instrText>
      </w:r>
      <w:r>
        <w:fldChar w:fldCharType="separate"/>
      </w:r>
      <w:r>
        <w:rPr>
          <w:rStyle w:val="16"/>
          <w:rFonts w:ascii="Times New Roman" w:hAnsi="Times New Roman"/>
          <w:color w:val="auto"/>
        </w:rPr>
        <w:t>1.1</w:t>
      </w:r>
      <w:r>
        <w:rPr>
          <w:rFonts w:ascii="Times New Roman" w:hAnsi="Times New Roman" w:eastAsiaTheme="minorEastAsia"/>
          <w:kern w:val="2"/>
          <w:szCs w:val="24"/>
          <w:lang w:val="en-US" w:eastAsia="zh-CN"/>
        </w:rPr>
        <w:tab/>
      </w:r>
      <w:r>
        <w:rPr>
          <w:rStyle w:val="16"/>
          <w:rFonts w:ascii="Times New Roman" w:hAnsi="Times New Roman"/>
          <w:color w:val="auto"/>
        </w:rPr>
        <w:t>Need For the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_Toc220710779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14:paraId="140B5C04">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"_Toc220710780" </w:instrText>
      </w:r>
      <w:r>
        <w:fldChar w:fldCharType="separate"/>
      </w:r>
      <w:r>
        <w:rPr>
          <w:rStyle w:val="16"/>
          <w:rFonts w:ascii="Times New Roman" w:hAnsi="Times New Roman"/>
          <w:color w:val="auto"/>
        </w:rPr>
        <w:t>1.2</w:t>
      </w:r>
      <w:r>
        <w:rPr>
          <w:rFonts w:ascii="Times New Roman" w:hAnsi="Times New Roman" w:eastAsiaTheme="minorEastAsia"/>
          <w:kern w:val="2"/>
          <w:szCs w:val="24"/>
          <w:lang w:val="en-US" w:eastAsia="zh-CN"/>
        </w:rPr>
        <w:tab/>
      </w:r>
      <w:r>
        <w:rPr>
          <w:rStyle w:val="16"/>
          <w:rFonts w:ascii="Times New Roman" w:hAnsi="Times New Roman"/>
          <w:color w:val="auto"/>
        </w:rPr>
        <w:t>The Terms of Reference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_Toc220710780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14:paraId="12D5C020">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"_Toc220710781" </w:instrText>
      </w:r>
      <w:r>
        <w:fldChar w:fldCharType="separate"/>
      </w:r>
      <w:r>
        <w:rPr>
          <w:rStyle w:val="16"/>
          <w:rFonts w:ascii="Times New Roman" w:hAnsi="Times New Roman"/>
          <w:color w:val="auto"/>
        </w:rPr>
        <w:t>1.3</w:t>
      </w:r>
      <w:r>
        <w:rPr>
          <w:rFonts w:ascii="Times New Roman" w:hAnsi="Times New Roman" w:eastAsiaTheme="minorEastAsia"/>
          <w:kern w:val="2"/>
          <w:szCs w:val="24"/>
          <w:lang w:val="en-US" w:eastAsia="zh-CN"/>
        </w:rPr>
        <w:tab/>
      </w:r>
      <w:r>
        <w:rPr>
          <w:rStyle w:val="16"/>
          <w:rFonts w:ascii="Times New Roman" w:hAnsi="Times New Roman"/>
          <w:color w:val="auto"/>
        </w:rPr>
        <w:t>ESIA Objectives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_Toc220710781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14:paraId="2D3847B8">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"_Toc220710782" </w:instrText>
      </w:r>
      <w:r>
        <w:fldChar w:fldCharType="separate"/>
      </w:r>
      <w:r>
        <w:rPr>
          <w:rStyle w:val="16"/>
          <w:rFonts w:ascii="Times New Roman" w:hAnsi="Times New Roman"/>
          <w:color w:val="auto"/>
        </w:rPr>
        <w:t>1.4</w:t>
      </w:r>
      <w:r>
        <w:rPr>
          <w:rFonts w:ascii="Times New Roman" w:hAnsi="Times New Roman" w:eastAsiaTheme="minorEastAsia"/>
          <w:kern w:val="2"/>
          <w:szCs w:val="24"/>
          <w:lang w:val="en-US" w:eastAsia="zh-CN"/>
        </w:rPr>
        <w:tab/>
      </w:r>
      <w:r>
        <w:rPr>
          <w:rStyle w:val="16"/>
          <w:rFonts w:ascii="Times New Roman" w:hAnsi="Times New Roman"/>
          <w:color w:val="auto"/>
        </w:rPr>
        <w:t>Methodology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_Toc220710782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14:paraId="63242B3E">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"_Toc220710783" </w:instrText>
      </w:r>
      <w:r>
        <w:fldChar w:fldCharType="separate"/>
      </w:r>
      <w:r>
        <w:rPr>
          <w:rStyle w:val="16"/>
          <w:rFonts w:ascii="Times New Roman" w:hAnsi="Times New Roman"/>
          <w:b/>
          <w:color w:val="auto"/>
        </w:rPr>
        <w:t>1.4.</w:t>
      </w:r>
      <w:r>
        <w:rPr>
          <w:rFonts w:ascii="Times New Roman" w:hAnsi="Times New Roman" w:eastAsiaTheme="minorEastAsia"/>
          <w:kern w:val="2"/>
          <w:szCs w:val="24"/>
          <w:lang w:val="en-US" w:eastAsia="zh-CN"/>
        </w:rPr>
        <w:tab/>
      </w:r>
      <w:r>
        <w:rPr>
          <w:rStyle w:val="16"/>
          <w:rFonts w:ascii="Times New Roman" w:hAnsi="Times New Roman"/>
          <w:b/>
          <w:color w:val="auto"/>
        </w:rPr>
        <w:t>1 Environment and Social Scoping</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_Toc220710783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14:paraId="7D9BDBB6">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"_Toc220710784" </w:instrText>
      </w:r>
      <w:r>
        <w:fldChar w:fldCharType="separate"/>
      </w:r>
      <w:r>
        <w:rPr>
          <w:rStyle w:val="16"/>
          <w:rFonts w:ascii="Times New Roman" w:hAnsi="Times New Roman"/>
          <w:b/>
          <w:color w:val="auto"/>
        </w:rPr>
        <w:t>1.4.2</w:t>
      </w:r>
      <w:r>
        <w:rPr>
          <w:rFonts w:ascii="Times New Roman" w:hAnsi="Times New Roman" w:eastAsiaTheme="minorEastAsia"/>
          <w:kern w:val="2"/>
          <w:szCs w:val="24"/>
          <w:lang w:val="en-US" w:eastAsia="zh-CN"/>
        </w:rPr>
        <w:tab/>
      </w:r>
      <w:r>
        <w:rPr>
          <w:rStyle w:val="16"/>
          <w:rFonts w:ascii="Times New Roman" w:hAnsi="Times New Roman"/>
          <w:b/>
          <w:color w:val="auto"/>
        </w:rPr>
        <w:t>Stakeholder Consultations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_Toc220710784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14:paraId="5F48CE6D">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"_Toc220710785" </w:instrText>
      </w:r>
      <w:r>
        <w:fldChar w:fldCharType="separate"/>
      </w:r>
      <w:r>
        <w:rPr>
          <w:rStyle w:val="16"/>
          <w:rFonts w:ascii="Times New Roman" w:hAnsi="Times New Roman"/>
          <w:b/>
          <w:color w:val="auto"/>
        </w:rPr>
        <w:t>1.5</w:t>
      </w:r>
      <w:r>
        <w:rPr>
          <w:rFonts w:ascii="Times New Roman" w:hAnsi="Times New Roman" w:eastAsiaTheme="minorEastAsia"/>
          <w:kern w:val="2"/>
          <w:szCs w:val="24"/>
          <w:lang w:val="en-US" w:eastAsia="zh-CN"/>
        </w:rPr>
        <w:tab/>
      </w:r>
      <w:r>
        <w:rPr>
          <w:rStyle w:val="16"/>
          <w:rFonts w:ascii="Times New Roman" w:hAnsi="Times New Roman"/>
          <w:b/>
          <w:color w:val="auto"/>
        </w:rPr>
        <w:t>Socio-economic Assessment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_Toc220710785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14:paraId="07240870">
      <w:pPr>
        <w:pStyle w:val="23"/>
        <w:tabs>
          <w:tab w:val="left" w:pos="440"/>
          <w:tab w:val="right" w:leader="dot" w:pos="9016"/>
        </w:tabs>
        <w:rPr>
          <w:rFonts w:ascii="Times New Roman" w:hAnsi="Times New Roman" w:eastAsiaTheme="minorEastAsia"/>
          <w:kern w:val="2"/>
          <w:szCs w:val="24"/>
          <w:lang w:val="en-US" w:eastAsia="zh-CN"/>
        </w:rPr>
      </w:pPr>
      <w:r>
        <w:fldChar w:fldCharType="begin"/>
      </w:r>
      <w:r>
        <w:instrText xml:space="preserve"> HYPERLINK \l "_Toc220710786" </w:instrText>
      </w:r>
      <w:r>
        <w:fldChar w:fldCharType="separate"/>
      </w:r>
      <w:r>
        <w:rPr>
          <w:rStyle w:val="16"/>
          <w:rFonts w:ascii="Times New Roman" w:hAnsi="Times New Roman"/>
          <w:color w:val="auto"/>
        </w:rPr>
        <w:t>2</w:t>
      </w:r>
      <w:r>
        <w:rPr>
          <w:rFonts w:ascii="Times New Roman" w:hAnsi="Times New Roman" w:eastAsiaTheme="minorEastAsia"/>
          <w:kern w:val="2"/>
          <w:szCs w:val="24"/>
          <w:lang w:val="en-US" w:eastAsia="zh-CN"/>
        </w:rPr>
        <w:tab/>
      </w:r>
      <w:r>
        <w:rPr>
          <w:rStyle w:val="16"/>
          <w:rFonts w:ascii="Times New Roman" w:hAnsi="Times New Roman"/>
          <w:color w:val="auto"/>
        </w:rPr>
        <w:t>PROPOSED PROJECT DESCRIPTION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_Toc220710786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fldChar w:fldCharType="end"/>
      </w:r>
    </w:p>
    <w:p w14:paraId="0C646631">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"_Toc220710787" </w:instrText>
      </w:r>
      <w:r>
        <w:fldChar w:fldCharType="separate"/>
      </w:r>
      <w:r>
        <w:rPr>
          <w:rStyle w:val="16"/>
          <w:rFonts w:ascii="Times New Roman" w:hAnsi="Times New Roman"/>
          <w:color w:val="auto"/>
        </w:rPr>
        <w:t>2.1</w:t>
      </w:r>
      <w:r>
        <w:rPr>
          <w:rFonts w:ascii="Times New Roman" w:hAnsi="Times New Roman" w:eastAsiaTheme="minorEastAsia"/>
          <w:kern w:val="2"/>
          <w:szCs w:val="24"/>
          <w:lang w:val="en-US" w:eastAsia="zh-CN"/>
        </w:rPr>
        <w:tab/>
      </w:r>
      <w:r>
        <w:rPr>
          <w:rStyle w:val="16"/>
          <w:rFonts w:ascii="Times New Roman" w:hAnsi="Times New Roman"/>
          <w:color w:val="auto"/>
        </w:rPr>
        <w:t>background to the proposed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_Toc220710787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fldChar w:fldCharType="end"/>
      </w:r>
    </w:p>
    <w:p w14:paraId="02B10D71">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"_Toc220710788" </w:instrText>
      </w:r>
      <w:r>
        <w:fldChar w:fldCharType="separate"/>
      </w:r>
      <w:r>
        <w:rPr>
          <w:rStyle w:val="16"/>
          <w:rFonts w:ascii="Times New Roman" w:hAnsi="Times New Roman"/>
          <w:color w:val="auto"/>
        </w:rPr>
        <w:t>2.2</w:t>
      </w:r>
      <w:r>
        <w:rPr>
          <w:rFonts w:ascii="Times New Roman" w:hAnsi="Times New Roman" w:eastAsiaTheme="minorEastAsia"/>
          <w:kern w:val="2"/>
          <w:szCs w:val="24"/>
          <w:lang w:val="en-US" w:eastAsia="zh-CN"/>
        </w:rPr>
        <w:tab/>
      </w:r>
      <w:r>
        <w:rPr>
          <w:rStyle w:val="16"/>
          <w:rFonts w:ascii="Times New Roman" w:hAnsi="Times New Roman"/>
          <w:color w:val="auto"/>
        </w:rPr>
        <w:t>Location for the Office Site ablution block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_Toc220710788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fldChar w:fldCharType="end"/>
      </w:r>
    </w:p>
    <w:p w14:paraId="5D5D5EE6">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"_Toc220710789" </w:instrText>
      </w:r>
      <w:r>
        <w:fldChar w:fldCharType="separate"/>
      </w:r>
      <w:r>
        <w:rPr>
          <w:rStyle w:val="16"/>
          <w:rFonts w:ascii="Times New Roman" w:hAnsi="Times New Roman"/>
          <w:color w:val="auto"/>
        </w:rPr>
        <w:t>2.3</w:t>
      </w:r>
      <w:r>
        <w:rPr>
          <w:rFonts w:ascii="Times New Roman" w:hAnsi="Times New Roman" w:eastAsiaTheme="minorEastAsia"/>
          <w:kern w:val="2"/>
          <w:szCs w:val="24"/>
          <w:lang w:val="en-US" w:eastAsia="zh-CN"/>
        </w:rPr>
        <w:tab/>
      </w:r>
      <w:r>
        <w:rPr>
          <w:rStyle w:val="16"/>
          <w:rFonts w:ascii="Times New Roman" w:hAnsi="Times New Roman"/>
          <w:color w:val="auto"/>
        </w:rPr>
        <w:t>The Proposed project Components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_Toc220710789 \h </w:instrText>
      </w:r>
      <w:r>
        <w:rPr>
          <w:rFonts w:ascii="Times New Roman" w:hAnsi="Times New Roman"/>
        </w:rPr>
        <w:fldChar w:fldCharType="separate"/>
      </w:r>
      <w:r>
        <w:rPr>
          <w:rFonts w:ascii="Times New Roman" w:hAnsi="Times New Roman"/>
        </w:rPr>
        <w:t>28</w:t>
      </w:r>
      <w:r>
        <w:rPr>
          <w:rFonts w:ascii="Times New Roman" w:hAnsi="Times New Roman"/>
        </w:rPr>
        <w:fldChar w:fldCharType="end"/>
      </w:r>
      <w:r>
        <w:rPr>
          <w:rFonts w:ascii="Times New Roman" w:hAnsi="Times New Roman"/>
        </w:rPr>
        <w:fldChar w:fldCharType="end"/>
      </w:r>
    </w:p>
    <w:p w14:paraId="620E75E5">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"_Toc220710790" </w:instrText>
      </w:r>
      <w:r>
        <w:fldChar w:fldCharType="separate"/>
      </w:r>
      <w:r>
        <w:rPr>
          <w:rStyle w:val="16"/>
          <w:rFonts w:ascii="Times New Roman" w:hAnsi="Times New Roman"/>
          <w:b/>
          <w:bCs/>
          <w:color w:val="auto"/>
        </w:rPr>
        <w:t>2.4</w:t>
      </w:r>
      <w:r>
        <w:rPr>
          <w:rFonts w:ascii="Times New Roman" w:hAnsi="Times New Roman" w:eastAsiaTheme="minorEastAsia"/>
          <w:kern w:val="2"/>
          <w:szCs w:val="24"/>
          <w:lang w:val="en-US" w:eastAsia="zh-CN"/>
        </w:rPr>
        <w:tab/>
      </w:r>
      <w:r>
        <w:rPr>
          <w:rStyle w:val="16"/>
          <w:rFonts w:ascii="Times New Roman" w:hAnsi="Times New Roman"/>
          <w:b/>
          <w:bCs/>
          <w:color w:val="auto"/>
        </w:rPr>
        <w:t>Project Implementation Cost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_Toc220710790 \h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rPr>
        <w:fldChar w:fldCharType="end"/>
      </w:r>
    </w:p>
    <w:p w14:paraId="5FCDC8F3">
      <w:pPr>
        <w:pStyle w:val="23"/>
        <w:tabs>
          <w:tab w:val="left" w:pos="440"/>
          <w:tab w:val="right" w:leader="dot" w:pos="9016"/>
        </w:tabs>
        <w:rPr>
          <w:rFonts w:ascii="Times New Roman" w:hAnsi="Times New Roman" w:eastAsiaTheme="minorEastAsia"/>
          <w:kern w:val="2"/>
          <w:szCs w:val="24"/>
          <w:lang w:val="en-US" w:eastAsia="zh-CN"/>
        </w:rPr>
      </w:pPr>
      <w:r>
        <w:fldChar w:fldCharType="begin"/>
      </w:r>
      <w:r>
        <w:instrText xml:space="preserve"> HYPERLINK \l "_Toc220710791" </w:instrText>
      </w:r>
      <w:r>
        <w:fldChar w:fldCharType="separate"/>
      </w:r>
      <w:r>
        <w:rPr>
          <w:rStyle w:val="16"/>
          <w:rFonts w:ascii="Times New Roman" w:hAnsi="Times New Roman"/>
          <w:color w:val="auto"/>
        </w:rPr>
        <w:t>3</w:t>
      </w:r>
      <w:r>
        <w:rPr>
          <w:rFonts w:ascii="Times New Roman" w:hAnsi="Times New Roman" w:eastAsiaTheme="minorEastAsia"/>
          <w:kern w:val="2"/>
          <w:szCs w:val="24"/>
          <w:lang w:val="en-US" w:eastAsia="zh-CN"/>
        </w:rPr>
        <w:tab/>
      </w:r>
      <w:r>
        <w:rPr>
          <w:rStyle w:val="16"/>
          <w:rFonts w:ascii="Times New Roman" w:hAnsi="Times New Roman"/>
          <w:color w:val="auto"/>
        </w:rPr>
        <w:t>BASELINE CONDITIONS OF AFFECTED ENVIRONMENT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_Toc220710791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14:paraId="74A30EA8">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"_Toc220710792" </w:instrText>
      </w:r>
      <w:r>
        <w:fldChar w:fldCharType="separate"/>
      </w:r>
      <w:r>
        <w:rPr>
          <w:rStyle w:val="16"/>
          <w:rFonts w:ascii="Times New Roman" w:hAnsi="Times New Roman"/>
          <w:color w:val="auto"/>
        </w:rPr>
        <w:t>3.1</w:t>
      </w:r>
      <w:r>
        <w:rPr>
          <w:rFonts w:ascii="Times New Roman" w:hAnsi="Times New Roman" w:eastAsiaTheme="minorEastAsia"/>
          <w:kern w:val="2"/>
          <w:szCs w:val="24"/>
          <w:lang w:val="en-US" w:eastAsia="zh-CN"/>
        </w:rPr>
        <w:tab/>
      </w:r>
      <w:r>
        <w:rPr>
          <w:rStyle w:val="16"/>
          <w:rFonts w:ascii="Times New Roman" w:hAnsi="Times New Roman"/>
          <w:color w:val="auto"/>
        </w:rPr>
        <w:t>Flora and fauna</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_Toc220710792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14:paraId="2E7630F4">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"_Toc220710793" </w:instrText>
      </w:r>
      <w:r>
        <w:fldChar w:fldCharType="separate"/>
      </w:r>
      <w:r>
        <w:rPr>
          <w:rStyle w:val="16"/>
          <w:rFonts w:ascii="Times New Roman" w:hAnsi="Times New Roman"/>
          <w:color w:val="auto"/>
        </w:rPr>
        <w:t>3.2</w:t>
      </w:r>
      <w:r>
        <w:rPr>
          <w:rFonts w:ascii="Times New Roman" w:hAnsi="Times New Roman" w:eastAsiaTheme="minorEastAsia"/>
          <w:kern w:val="2"/>
          <w:szCs w:val="24"/>
          <w:lang w:val="en-US" w:eastAsia="zh-CN"/>
        </w:rPr>
        <w:tab/>
      </w:r>
      <w:r>
        <w:rPr>
          <w:rStyle w:val="16"/>
          <w:rFonts w:ascii="Times New Roman" w:hAnsi="Times New Roman"/>
          <w:color w:val="auto"/>
        </w:rPr>
        <w:t>Socio-Economic activities and Infrastructure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_Toc220710793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14:paraId="0740C61A">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"_Toc220710794" </w:instrText>
      </w:r>
      <w:r>
        <w:fldChar w:fldCharType="separate"/>
      </w:r>
      <w:r>
        <w:rPr>
          <w:rStyle w:val="16"/>
          <w:rFonts w:ascii="Times New Roman" w:hAnsi="Times New Roman"/>
          <w:color w:val="auto"/>
        </w:rPr>
        <w:t>3.2.1</w:t>
      </w:r>
      <w:r>
        <w:rPr>
          <w:rFonts w:ascii="Times New Roman" w:hAnsi="Times New Roman" w:eastAsiaTheme="minorEastAsia"/>
          <w:kern w:val="2"/>
          <w:szCs w:val="24"/>
          <w:lang w:val="en-US" w:eastAsia="zh-CN"/>
        </w:rPr>
        <w:tab/>
      </w:r>
      <w:r>
        <w:rPr>
          <w:rStyle w:val="16"/>
          <w:rFonts w:ascii="Times New Roman" w:hAnsi="Times New Roman"/>
          <w:color w:val="auto"/>
        </w:rPr>
        <w:t>Economic Activities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_Toc220710794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14:paraId="5AFC9588">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"_Toc220710795" </w:instrText>
      </w:r>
      <w:r>
        <w:fldChar w:fldCharType="separate"/>
      </w:r>
      <w:r>
        <w:rPr>
          <w:rStyle w:val="16"/>
          <w:rFonts w:ascii="Times New Roman" w:hAnsi="Times New Roman"/>
          <w:color w:val="auto"/>
        </w:rPr>
        <w:t>3.2.2</w:t>
      </w:r>
      <w:r>
        <w:rPr>
          <w:rFonts w:ascii="Times New Roman" w:hAnsi="Times New Roman" w:eastAsiaTheme="minorEastAsia"/>
          <w:kern w:val="2"/>
          <w:szCs w:val="24"/>
          <w:lang w:val="en-US" w:eastAsia="zh-CN"/>
        </w:rPr>
        <w:tab/>
      </w:r>
      <w:r>
        <w:rPr>
          <w:rStyle w:val="16"/>
          <w:rFonts w:ascii="Times New Roman" w:hAnsi="Times New Roman"/>
          <w:color w:val="auto"/>
        </w:rPr>
        <w:t>Land Use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_Toc220710795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14:paraId="27016431">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"_Toc220710796" </w:instrText>
      </w:r>
      <w:r>
        <w:fldChar w:fldCharType="separate"/>
      </w:r>
      <w:r>
        <w:rPr>
          <w:rStyle w:val="16"/>
          <w:rFonts w:ascii="Times New Roman" w:hAnsi="Times New Roman"/>
          <w:color w:val="auto"/>
        </w:rPr>
        <w:t>3.2.3</w:t>
      </w:r>
      <w:r>
        <w:rPr>
          <w:rFonts w:ascii="Times New Roman" w:hAnsi="Times New Roman" w:eastAsiaTheme="minorEastAsia"/>
          <w:kern w:val="2"/>
          <w:szCs w:val="24"/>
          <w:lang w:val="en-US" w:eastAsia="zh-CN"/>
        </w:rPr>
        <w:tab/>
      </w:r>
      <w:r>
        <w:rPr>
          <w:rStyle w:val="16"/>
          <w:rFonts w:ascii="Times New Roman" w:hAnsi="Times New Roman"/>
          <w:color w:val="auto"/>
        </w:rPr>
        <w:t>Infrastructure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_Toc220710796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14:paraId="7B6D60D9">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"_Toc220710797" </w:instrText>
      </w:r>
      <w:r>
        <w:fldChar w:fldCharType="separate"/>
      </w:r>
      <w:r>
        <w:rPr>
          <w:rStyle w:val="16"/>
          <w:rFonts w:ascii="Times New Roman" w:hAnsi="Times New Roman"/>
          <w:color w:val="auto"/>
        </w:rPr>
        <w:t>3.2.4</w:t>
      </w:r>
      <w:r>
        <w:rPr>
          <w:rFonts w:ascii="Times New Roman" w:hAnsi="Times New Roman" w:eastAsiaTheme="minorEastAsia"/>
          <w:kern w:val="2"/>
          <w:szCs w:val="24"/>
          <w:lang w:val="en-US" w:eastAsia="zh-CN"/>
        </w:rPr>
        <w:tab/>
      </w:r>
      <w:r>
        <w:rPr>
          <w:rStyle w:val="16"/>
          <w:rFonts w:ascii="Times New Roman" w:hAnsi="Times New Roman"/>
          <w:color w:val="auto"/>
        </w:rPr>
        <w:t>Settlement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_Toc220710797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14:paraId="2E2955C0">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"_Toc220710798" </w:instrText>
      </w:r>
      <w:r>
        <w:fldChar w:fldCharType="separate"/>
      </w:r>
      <w:r>
        <w:rPr>
          <w:rStyle w:val="16"/>
          <w:rFonts w:ascii="Times New Roman" w:hAnsi="Times New Roman"/>
          <w:color w:val="auto"/>
        </w:rPr>
        <w:t>3.3</w:t>
      </w:r>
      <w:r>
        <w:rPr>
          <w:rFonts w:ascii="Times New Roman" w:hAnsi="Times New Roman" w:eastAsiaTheme="minorEastAsia"/>
          <w:kern w:val="2"/>
          <w:szCs w:val="24"/>
          <w:lang w:val="en-US" w:eastAsia="zh-CN"/>
        </w:rPr>
        <w:tab/>
      </w:r>
      <w:r>
        <w:rPr>
          <w:rStyle w:val="16"/>
          <w:rFonts w:ascii="Times New Roman" w:hAnsi="Times New Roman"/>
          <w:color w:val="auto"/>
        </w:rPr>
        <w:t>Physiographic and Environmental Conditions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_Toc220710798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14:paraId="02CB7667">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"_Toc220710799" </w:instrText>
      </w:r>
      <w:r>
        <w:fldChar w:fldCharType="separate"/>
      </w:r>
      <w:r>
        <w:rPr>
          <w:rStyle w:val="16"/>
          <w:rFonts w:ascii="Times New Roman" w:hAnsi="Times New Roman"/>
          <w:color w:val="auto"/>
        </w:rPr>
        <w:t>3.3.1</w:t>
      </w:r>
      <w:r>
        <w:rPr>
          <w:rFonts w:ascii="Times New Roman" w:hAnsi="Times New Roman" w:eastAsiaTheme="minorEastAsia"/>
          <w:kern w:val="2"/>
          <w:szCs w:val="24"/>
          <w:lang w:val="en-US" w:eastAsia="zh-CN"/>
        </w:rPr>
        <w:tab/>
      </w:r>
      <w:r>
        <w:rPr>
          <w:rStyle w:val="16"/>
          <w:rFonts w:ascii="Times New Roman" w:hAnsi="Times New Roman"/>
          <w:color w:val="auto"/>
        </w:rPr>
        <w:t>Climate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_Toc220710799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14:paraId="528A041D">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"_Toc220710800" </w:instrText>
      </w:r>
      <w:r>
        <w:fldChar w:fldCharType="separate"/>
      </w:r>
      <w:r>
        <w:rPr>
          <w:rStyle w:val="16"/>
          <w:rFonts w:ascii="Times New Roman" w:hAnsi="Times New Roman"/>
          <w:color w:val="auto"/>
        </w:rPr>
        <w:t>3.3.2</w:t>
      </w:r>
      <w:r>
        <w:rPr>
          <w:rFonts w:ascii="Times New Roman" w:hAnsi="Times New Roman" w:eastAsiaTheme="minorEastAsia"/>
          <w:kern w:val="2"/>
          <w:szCs w:val="24"/>
          <w:lang w:val="en-US" w:eastAsia="zh-CN"/>
        </w:rPr>
        <w:tab/>
      </w:r>
      <w:r>
        <w:rPr>
          <w:rStyle w:val="16"/>
          <w:rFonts w:ascii="Times New Roman" w:hAnsi="Times New Roman"/>
          <w:color w:val="auto"/>
        </w:rPr>
        <w:t>Topography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_Toc220710800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14:paraId="13CCBD4F">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"_Toc220710801" </w:instrText>
      </w:r>
      <w:r>
        <w:fldChar w:fldCharType="separate"/>
      </w:r>
      <w:r>
        <w:rPr>
          <w:rStyle w:val="16"/>
          <w:rFonts w:ascii="Times New Roman" w:hAnsi="Times New Roman"/>
          <w:color w:val="auto"/>
        </w:rPr>
        <w:t>3.3.3</w:t>
      </w:r>
      <w:r>
        <w:rPr>
          <w:rFonts w:ascii="Times New Roman" w:hAnsi="Times New Roman" w:eastAsiaTheme="minorEastAsia"/>
          <w:kern w:val="2"/>
          <w:szCs w:val="24"/>
          <w:lang w:val="en-US" w:eastAsia="zh-CN"/>
        </w:rPr>
        <w:tab/>
      </w:r>
      <w:r>
        <w:rPr>
          <w:rStyle w:val="16"/>
          <w:rFonts w:ascii="Times New Roman" w:hAnsi="Times New Roman"/>
          <w:color w:val="auto"/>
        </w:rPr>
        <w:t>Geology and Soils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_Toc220710801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14:paraId="308731FA">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"_Toc220710802" </w:instrText>
      </w:r>
      <w:r>
        <w:fldChar w:fldCharType="separate"/>
      </w:r>
      <w:r>
        <w:rPr>
          <w:rStyle w:val="16"/>
          <w:rFonts w:ascii="Times New Roman" w:hAnsi="Times New Roman"/>
          <w:color w:val="auto"/>
        </w:rPr>
        <w:t>3.3.4</w:t>
      </w:r>
      <w:r>
        <w:rPr>
          <w:rFonts w:ascii="Times New Roman" w:hAnsi="Times New Roman" w:eastAsiaTheme="minorEastAsia"/>
          <w:kern w:val="2"/>
          <w:szCs w:val="24"/>
          <w:lang w:val="en-US" w:eastAsia="zh-CN"/>
        </w:rPr>
        <w:tab/>
      </w:r>
      <w:r>
        <w:rPr>
          <w:rStyle w:val="16"/>
          <w:rFonts w:ascii="Times New Roman" w:hAnsi="Times New Roman"/>
          <w:color w:val="auto"/>
        </w:rPr>
        <w:t>Hydrology and Drainage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_Toc220710802 \h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fldChar w:fldCharType="end"/>
      </w:r>
    </w:p>
    <w:p w14:paraId="4D951917">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"_Toc220710803" </w:instrText>
      </w:r>
      <w:r>
        <w:fldChar w:fldCharType="separate"/>
      </w:r>
      <w:r>
        <w:rPr>
          <w:rStyle w:val="16"/>
          <w:rFonts w:ascii="Times New Roman" w:hAnsi="Times New Roman"/>
          <w:color w:val="auto"/>
        </w:rPr>
        <w:t>3.4</w:t>
      </w:r>
      <w:r>
        <w:rPr>
          <w:rFonts w:ascii="Times New Roman" w:hAnsi="Times New Roman" w:eastAsiaTheme="minorEastAsia"/>
          <w:kern w:val="2"/>
          <w:szCs w:val="24"/>
          <w:lang w:val="en-US" w:eastAsia="zh-CN"/>
        </w:rPr>
        <w:tab/>
      </w:r>
      <w:r>
        <w:rPr>
          <w:rStyle w:val="16"/>
          <w:rFonts w:ascii="Times New Roman" w:hAnsi="Times New Roman"/>
          <w:color w:val="auto"/>
        </w:rPr>
        <w:t>HOUSEHOLD SOCIO-ECONOMIC SURVEY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_Toc220710803 \h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fldChar w:fldCharType="end"/>
      </w:r>
    </w:p>
    <w:p w14:paraId="6BF055F4">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"_Toc220710804" </w:instrText>
      </w:r>
      <w:r>
        <w:fldChar w:fldCharType="separate"/>
      </w:r>
      <w:r>
        <w:rPr>
          <w:rStyle w:val="16"/>
          <w:rFonts w:ascii="Times New Roman" w:hAnsi="Times New Roman"/>
          <w:b/>
          <w:bCs/>
          <w:color w:val="auto"/>
        </w:rPr>
        <w:t>3.4.1</w:t>
      </w:r>
      <w:r>
        <w:rPr>
          <w:rFonts w:ascii="Times New Roman" w:hAnsi="Times New Roman" w:eastAsiaTheme="minorEastAsia"/>
          <w:kern w:val="2"/>
          <w:szCs w:val="24"/>
          <w:lang w:val="en-US" w:eastAsia="zh-CN"/>
        </w:rPr>
        <w:tab/>
      </w:r>
      <w:r>
        <w:rPr>
          <w:rStyle w:val="16"/>
          <w:rFonts w:ascii="Times New Roman" w:hAnsi="Times New Roman"/>
          <w:b/>
          <w:bCs/>
          <w:color w:val="auto"/>
        </w:rPr>
        <w:t>Population dynamics and household characteristics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_Toc220710804 \h </w:instrText>
      </w:r>
      <w:r>
        <w:rPr>
          <w:rFonts w:ascii="Times New Roman" w:hAnsi="Times New Roman"/>
        </w:rPr>
        <w:fldChar w:fldCharType="separate"/>
      </w:r>
      <w:r>
        <w:rPr>
          <w:rFonts w:ascii="Times New Roman" w:hAnsi="Times New Roman"/>
        </w:rPr>
        <w:t>39</w:t>
      </w:r>
      <w:r>
        <w:rPr>
          <w:rFonts w:ascii="Times New Roman" w:hAnsi="Times New Roman"/>
        </w:rPr>
        <w:fldChar w:fldCharType="end"/>
      </w:r>
      <w:r>
        <w:rPr>
          <w:rFonts w:ascii="Times New Roman" w:hAnsi="Times New Roman"/>
        </w:rPr>
        <w:fldChar w:fldCharType="end"/>
      </w:r>
    </w:p>
    <w:p w14:paraId="7E1E603B">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"_Toc220710805" </w:instrText>
      </w:r>
      <w:r>
        <w:fldChar w:fldCharType="separate"/>
      </w:r>
      <w:r>
        <w:rPr>
          <w:rStyle w:val="16"/>
          <w:rFonts w:ascii="Times New Roman" w:hAnsi="Times New Roman"/>
          <w:b/>
          <w:bCs/>
          <w:color w:val="auto"/>
        </w:rPr>
        <w:t>3.5</w:t>
      </w:r>
      <w:r>
        <w:rPr>
          <w:rFonts w:ascii="Times New Roman" w:hAnsi="Times New Roman" w:eastAsiaTheme="minorEastAsia"/>
          <w:kern w:val="2"/>
          <w:szCs w:val="24"/>
          <w:lang w:val="en-US" w:eastAsia="zh-CN"/>
        </w:rPr>
        <w:tab/>
      </w:r>
      <w:r>
        <w:rPr>
          <w:rStyle w:val="16"/>
          <w:rFonts w:ascii="Times New Roman" w:hAnsi="Times New Roman"/>
          <w:b/>
          <w:bCs/>
          <w:color w:val="auto"/>
        </w:rPr>
        <w:t>Water Supply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_Toc220710805 \h </w:instrText>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fldChar w:fldCharType="end"/>
      </w:r>
    </w:p>
    <w:p w14:paraId="6E5EBB88">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"_Toc220710806" </w:instrText>
      </w:r>
      <w:r>
        <w:fldChar w:fldCharType="separate"/>
      </w:r>
      <w:r>
        <w:rPr>
          <w:rStyle w:val="16"/>
          <w:rFonts w:ascii="Times New Roman" w:hAnsi="Times New Roman"/>
          <w:color w:val="auto"/>
        </w:rPr>
        <w:t>3.6</w:t>
      </w:r>
      <w:r>
        <w:rPr>
          <w:rFonts w:ascii="Times New Roman" w:hAnsi="Times New Roman" w:eastAsiaTheme="minorEastAsia"/>
          <w:kern w:val="2"/>
          <w:szCs w:val="24"/>
          <w:lang w:val="en-US" w:eastAsia="zh-CN"/>
        </w:rPr>
        <w:tab/>
      </w:r>
      <w:r>
        <w:rPr>
          <w:rStyle w:val="16"/>
          <w:rFonts w:ascii="Times New Roman" w:hAnsi="Times New Roman"/>
          <w:color w:val="auto"/>
        </w:rPr>
        <w:t>Sanitation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_Toc220710806 \h </w:instrText>
      </w:r>
      <w:r>
        <w:rPr>
          <w:rFonts w:ascii="Times New Roman" w:hAnsi="Times New Roman"/>
        </w:rPr>
        <w:fldChar w:fldCharType="separate"/>
      </w:r>
      <w:r>
        <w:rPr>
          <w:rFonts w:ascii="Times New Roman" w:hAnsi="Times New Roman"/>
        </w:rPr>
        <w:t>44</w:t>
      </w:r>
      <w:r>
        <w:rPr>
          <w:rFonts w:ascii="Times New Roman" w:hAnsi="Times New Roman"/>
        </w:rPr>
        <w:fldChar w:fldCharType="end"/>
      </w:r>
      <w:r>
        <w:rPr>
          <w:rFonts w:ascii="Times New Roman" w:hAnsi="Times New Roman"/>
        </w:rPr>
        <w:fldChar w:fldCharType="end"/>
      </w:r>
    </w:p>
    <w:p w14:paraId="434D333D">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"_Toc220710807" </w:instrText>
      </w:r>
      <w:r>
        <w:fldChar w:fldCharType="separate"/>
      </w:r>
      <w:r>
        <w:rPr>
          <w:rStyle w:val="16"/>
          <w:rFonts w:ascii="Times New Roman" w:hAnsi="Times New Roman"/>
          <w:b/>
          <w:bCs/>
          <w:color w:val="auto"/>
        </w:rPr>
        <w:t>3.7</w:t>
      </w:r>
      <w:r>
        <w:rPr>
          <w:rFonts w:ascii="Times New Roman" w:hAnsi="Times New Roman" w:eastAsiaTheme="minorEastAsia"/>
          <w:kern w:val="2"/>
          <w:szCs w:val="24"/>
          <w:lang w:val="en-US" w:eastAsia="zh-CN"/>
        </w:rPr>
        <w:tab/>
      </w:r>
      <w:r>
        <w:rPr>
          <w:rStyle w:val="16"/>
          <w:rFonts w:ascii="Times New Roman" w:hAnsi="Times New Roman"/>
          <w:b/>
          <w:bCs/>
          <w:color w:val="auto"/>
        </w:rPr>
        <w:t>Environmental Situation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_Toc220710807 \h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r>
        <w:rPr>
          <w:rFonts w:ascii="Times New Roman" w:hAnsi="Times New Roman"/>
        </w:rPr>
        <w:fldChar w:fldCharType="end"/>
      </w:r>
    </w:p>
    <w:p w14:paraId="03B3751E">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"_Toc220710808" </w:instrText>
      </w:r>
      <w:r>
        <w:fldChar w:fldCharType="separate"/>
      </w:r>
      <w:r>
        <w:rPr>
          <w:rStyle w:val="16"/>
          <w:rFonts w:ascii="Times New Roman" w:hAnsi="Times New Roman"/>
          <w:color w:val="auto"/>
        </w:rPr>
        <w:t>3.7.1</w:t>
      </w:r>
      <w:r>
        <w:rPr>
          <w:rFonts w:ascii="Times New Roman" w:hAnsi="Times New Roman" w:eastAsiaTheme="minorEastAsia"/>
          <w:kern w:val="2"/>
          <w:szCs w:val="24"/>
          <w:lang w:val="en-US" w:eastAsia="zh-CN"/>
        </w:rPr>
        <w:tab/>
      </w:r>
      <w:r>
        <w:rPr>
          <w:rStyle w:val="16"/>
          <w:rFonts w:ascii="Times New Roman" w:hAnsi="Times New Roman"/>
          <w:color w:val="auto"/>
        </w:rPr>
        <w:t>The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_Toc220710808 \h </w:instrText>
      </w:r>
      <w:r>
        <w:rPr>
          <w:rFonts w:ascii="Times New Roman" w:hAnsi="Times New Roman"/>
        </w:rPr>
        <w:fldChar w:fldCharType="separate"/>
      </w:r>
      <w:r>
        <w:rPr>
          <w:rFonts w:ascii="Times New Roman" w:hAnsi="Times New Roman"/>
        </w:rPr>
        <w:t>47</w:t>
      </w:r>
      <w:r>
        <w:rPr>
          <w:rFonts w:ascii="Times New Roman" w:hAnsi="Times New Roman"/>
        </w:rPr>
        <w:fldChar w:fldCharType="end"/>
      </w:r>
      <w:r>
        <w:rPr>
          <w:rFonts w:ascii="Times New Roman" w:hAnsi="Times New Roman"/>
        </w:rPr>
        <w:fldChar w:fldCharType="end"/>
      </w:r>
    </w:p>
    <w:p w14:paraId="16A0BE17">
      <w:pPr>
        <w:pStyle w:val="23"/>
        <w:tabs>
          <w:tab w:val="left" w:pos="440"/>
          <w:tab w:val="right" w:leader="dot" w:pos="9016"/>
        </w:tabs>
        <w:rPr>
          <w:rFonts w:ascii="Times New Roman" w:hAnsi="Times New Roman" w:eastAsiaTheme="minorEastAsia"/>
          <w:kern w:val="2"/>
          <w:szCs w:val="24"/>
          <w:lang w:val="en-US" w:eastAsia="zh-CN"/>
        </w:rPr>
      </w:pPr>
      <w:r>
        <w:fldChar w:fldCharType="begin"/>
      </w:r>
      <w:r>
        <w:instrText xml:space="preserve"> HYPERLINK \l "_Toc220710809" </w:instrText>
      </w:r>
      <w:r>
        <w:fldChar w:fldCharType="separate"/>
      </w:r>
      <w:r>
        <w:rPr>
          <w:rStyle w:val="16"/>
          <w:rFonts w:ascii="Times New Roman" w:hAnsi="Times New Roman"/>
          <w:color w:val="auto"/>
        </w:rPr>
        <w:t>4</w:t>
      </w:r>
      <w:r>
        <w:rPr>
          <w:rFonts w:ascii="Times New Roman" w:hAnsi="Times New Roman" w:eastAsiaTheme="minorEastAsia"/>
          <w:kern w:val="2"/>
          <w:szCs w:val="24"/>
          <w:lang w:val="en-US" w:eastAsia="zh-CN"/>
        </w:rPr>
        <w:tab/>
      </w:r>
      <w:r>
        <w:rPr>
          <w:rStyle w:val="16"/>
          <w:rFonts w:ascii="Times New Roman" w:hAnsi="Times New Roman"/>
          <w:color w:val="auto"/>
        </w:rPr>
        <w:t>Stakeholder Engagement and Public Consultation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_Toc220710809 \h </w:instrText>
      </w:r>
      <w:r>
        <w:rPr>
          <w:rFonts w:ascii="Times New Roman" w:hAnsi="Times New Roman"/>
        </w:rPr>
        <w:fldChar w:fldCharType="separate"/>
      </w:r>
      <w:r>
        <w:rPr>
          <w:rFonts w:ascii="Times New Roman" w:hAnsi="Times New Roman"/>
        </w:rPr>
        <w:t>49</w:t>
      </w:r>
      <w:r>
        <w:rPr>
          <w:rFonts w:ascii="Times New Roman" w:hAnsi="Times New Roman"/>
        </w:rPr>
        <w:fldChar w:fldCharType="end"/>
      </w:r>
      <w:r>
        <w:rPr>
          <w:rFonts w:ascii="Times New Roman" w:hAnsi="Times New Roman"/>
        </w:rPr>
        <w:fldChar w:fldCharType="end"/>
      </w:r>
    </w:p>
    <w:p w14:paraId="2FA9490E">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"_Toc220710810" </w:instrText>
      </w:r>
      <w:r>
        <w:fldChar w:fldCharType="separate"/>
      </w:r>
      <w:r>
        <w:rPr>
          <w:rStyle w:val="16"/>
          <w:rFonts w:ascii="Times New Roman" w:hAnsi="Times New Roman"/>
          <w:color w:val="auto"/>
        </w:rPr>
        <w:t>4.1</w:t>
      </w:r>
      <w:r>
        <w:rPr>
          <w:rFonts w:ascii="Times New Roman" w:hAnsi="Times New Roman" w:eastAsiaTheme="minorEastAsia"/>
          <w:kern w:val="2"/>
          <w:szCs w:val="24"/>
          <w:lang w:val="en-US" w:eastAsia="zh-CN"/>
        </w:rPr>
        <w:tab/>
      </w:r>
      <w:r>
        <w:rPr>
          <w:rStyle w:val="16"/>
          <w:rFonts w:ascii="Times New Roman" w:hAnsi="Times New Roman"/>
          <w:color w:val="auto"/>
        </w:rPr>
        <w:t>General</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_Toc220710810 \h </w:instrText>
      </w:r>
      <w:r>
        <w:rPr>
          <w:rFonts w:ascii="Times New Roman" w:hAnsi="Times New Roman"/>
        </w:rPr>
        <w:fldChar w:fldCharType="separate"/>
      </w:r>
      <w:r>
        <w:rPr>
          <w:rFonts w:ascii="Times New Roman" w:hAnsi="Times New Roman"/>
        </w:rPr>
        <w:t>49</w:t>
      </w:r>
      <w:r>
        <w:rPr>
          <w:rFonts w:ascii="Times New Roman" w:hAnsi="Times New Roman"/>
        </w:rPr>
        <w:fldChar w:fldCharType="end"/>
      </w:r>
      <w:r>
        <w:rPr>
          <w:rFonts w:ascii="Times New Roman" w:hAnsi="Times New Roman"/>
        </w:rPr>
        <w:fldChar w:fldCharType="end"/>
      </w:r>
    </w:p>
    <w:p w14:paraId="0C64699E">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"_Toc220710811" </w:instrText>
      </w:r>
      <w:r>
        <w:fldChar w:fldCharType="separate"/>
      </w:r>
      <w:r>
        <w:rPr>
          <w:rStyle w:val="16"/>
          <w:rFonts w:ascii="Times New Roman" w:hAnsi="Times New Roman"/>
          <w:color w:val="auto"/>
        </w:rPr>
        <w:t>4.2</w:t>
      </w:r>
      <w:r>
        <w:rPr>
          <w:rFonts w:ascii="Times New Roman" w:hAnsi="Times New Roman" w:eastAsiaTheme="minorEastAsia"/>
          <w:kern w:val="2"/>
          <w:szCs w:val="24"/>
          <w:lang w:val="en-US" w:eastAsia="zh-CN"/>
        </w:rPr>
        <w:tab/>
      </w:r>
      <w:r>
        <w:rPr>
          <w:rStyle w:val="16"/>
          <w:rFonts w:ascii="Times New Roman" w:hAnsi="Times New Roman"/>
          <w:color w:val="auto"/>
        </w:rPr>
        <w:t>Applicable Laws, Regulations and Policies to Public Engagement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_Toc220710811 \h </w:instrText>
      </w:r>
      <w:r>
        <w:rPr>
          <w:rFonts w:ascii="Times New Roman" w:hAnsi="Times New Roman"/>
        </w:rPr>
        <w:fldChar w:fldCharType="separate"/>
      </w:r>
      <w:r>
        <w:rPr>
          <w:rFonts w:ascii="Times New Roman" w:hAnsi="Times New Roman"/>
        </w:rPr>
        <w:t>49</w:t>
      </w:r>
      <w:r>
        <w:rPr>
          <w:rFonts w:ascii="Times New Roman" w:hAnsi="Times New Roman"/>
        </w:rPr>
        <w:fldChar w:fldCharType="end"/>
      </w:r>
      <w:r>
        <w:rPr>
          <w:rFonts w:ascii="Times New Roman" w:hAnsi="Times New Roman"/>
        </w:rPr>
        <w:fldChar w:fldCharType="end"/>
      </w:r>
    </w:p>
    <w:p w14:paraId="0334897A">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"_Toc220710812" </w:instrText>
      </w:r>
      <w:r>
        <w:fldChar w:fldCharType="separate"/>
      </w:r>
      <w:r>
        <w:rPr>
          <w:rStyle w:val="16"/>
          <w:rFonts w:ascii="Times New Roman" w:hAnsi="Times New Roman"/>
          <w:color w:val="auto"/>
          <w:lang w:val="en-US"/>
        </w:rPr>
        <w:t>4.3</w:t>
      </w:r>
      <w:r>
        <w:rPr>
          <w:rFonts w:ascii="Times New Roman" w:hAnsi="Times New Roman" w:eastAsiaTheme="minorEastAsia"/>
          <w:kern w:val="2"/>
          <w:szCs w:val="24"/>
          <w:lang w:val="en-US" w:eastAsia="zh-CN"/>
        </w:rPr>
        <w:tab/>
      </w:r>
      <w:r>
        <w:rPr>
          <w:rStyle w:val="16"/>
          <w:rFonts w:ascii="Times New Roman" w:hAnsi="Times New Roman"/>
          <w:color w:val="auto"/>
          <w:lang w:val="en-US"/>
        </w:rPr>
        <w:t>Public Participation Methodology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_Toc220710812 \h </w:instrText>
      </w:r>
      <w:r>
        <w:rPr>
          <w:rFonts w:ascii="Times New Roman" w:hAnsi="Times New Roman"/>
        </w:rPr>
        <w:fldChar w:fldCharType="separate"/>
      </w:r>
      <w:r>
        <w:rPr>
          <w:rFonts w:ascii="Times New Roman" w:hAnsi="Times New Roman"/>
        </w:rPr>
        <w:t>49</w:t>
      </w:r>
      <w:r>
        <w:rPr>
          <w:rFonts w:ascii="Times New Roman" w:hAnsi="Times New Roman"/>
        </w:rPr>
        <w:fldChar w:fldCharType="end"/>
      </w:r>
      <w:r>
        <w:rPr>
          <w:rFonts w:ascii="Times New Roman" w:hAnsi="Times New Roman"/>
        </w:rPr>
        <w:fldChar w:fldCharType="end"/>
      </w:r>
    </w:p>
    <w:p w14:paraId="118AADD8">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"_Toc220710813" </w:instrText>
      </w:r>
      <w:r>
        <w:fldChar w:fldCharType="separate"/>
      </w:r>
      <w:r>
        <w:rPr>
          <w:rStyle w:val="16"/>
          <w:rFonts w:ascii="Times New Roman" w:hAnsi="Times New Roman"/>
          <w:b/>
          <w:bCs/>
          <w:color w:val="auto"/>
          <w:lang w:val="en-US"/>
        </w:rPr>
        <w:t>4.4</w:t>
      </w:r>
      <w:r>
        <w:rPr>
          <w:rFonts w:ascii="Times New Roman" w:hAnsi="Times New Roman" w:eastAsiaTheme="minorEastAsia"/>
          <w:kern w:val="2"/>
          <w:szCs w:val="24"/>
          <w:lang w:val="en-US" w:eastAsia="zh-CN"/>
        </w:rPr>
        <w:tab/>
      </w:r>
      <w:r>
        <w:rPr>
          <w:rStyle w:val="16"/>
          <w:rFonts w:ascii="Times New Roman" w:hAnsi="Times New Roman"/>
          <w:b/>
          <w:bCs/>
          <w:color w:val="auto"/>
          <w:lang w:val="en-US"/>
        </w:rPr>
        <w:t>Questionnaire Administration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_Toc220710813 \h </w:instrText>
      </w:r>
      <w:r>
        <w:rPr>
          <w:rFonts w:ascii="Times New Roman" w:hAnsi="Times New Roman"/>
        </w:rPr>
        <w:fldChar w:fldCharType="separate"/>
      </w:r>
      <w:r>
        <w:rPr>
          <w:rFonts w:ascii="Times New Roman" w:hAnsi="Times New Roman"/>
        </w:rPr>
        <w:t>49</w:t>
      </w:r>
      <w:r>
        <w:rPr>
          <w:rFonts w:ascii="Times New Roman" w:hAnsi="Times New Roman"/>
        </w:rPr>
        <w:fldChar w:fldCharType="end"/>
      </w:r>
      <w:r>
        <w:rPr>
          <w:rFonts w:ascii="Times New Roman" w:hAnsi="Times New Roman"/>
        </w:rPr>
        <w:fldChar w:fldCharType="end"/>
      </w:r>
    </w:p>
    <w:p w14:paraId="103BE482">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"_Toc220710814" </w:instrText>
      </w:r>
      <w:r>
        <w:fldChar w:fldCharType="separate"/>
      </w:r>
      <w:r>
        <w:rPr>
          <w:rStyle w:val="16"/>
          <w:rFonts w:ascii="Times New Roman" w:hAnsi="Times New Roman"/>
          <w:b/>
          <w:bCs/>
          <w:color w:val="auto"/>
        </w:rPr>
        <w:t>4.5</w:t>
      </w:r>
      <w:r>
        <w:rPr>
          <w:rFonts w:ascii="Times New Roman" w:hAnsi="Times New Roman" w:eastAsiaTheme="minorEastAsia"/>
          <w:kern w:val="2"/>
          <w:szCs w:val="24"/>
          <w:lang w:val="en-US" w:eastAsia="zh-CN"/>
        </w:rPr>
        <w:tab/>
      </w:r>
      <w:r>
        <w:rPr>
          <w:rStyle w:val="16"/>
          <w:rFonts w:ascii="Times New Roman" w:hAnsi="Times New Roman"/>
          <w:b/>
          <w:bCs/>
          <w:color w:val="auto"/>
        </w:rPr>
        <w:t>Public Participation Meetings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_Toc220710814 \h </w:instrText>
      </w:r>
      <w:r>
        <w:rPr>
          <w:rFonts w:ascii="Times New Roman" w:hAnsi="Times New Roman"/>
        </w:rPr>
        <w:fldChar w:fldCharType="separate"/>
      </w:r>
      <w:r>
        <w:rPr>
          <w:rFonts w:ascii="Times New Roman" w:hAnsi="Times New Roman"/>
        </w:rPr>
        <w:t>50</w:t>
      </w:r>
      <w:r>
        <w:rPr>
          <w:rFonts w:ascii="Times New Roman" w:hAnsi="Times New Roman"/>
        </w:rPr>
        <w:fldChar w:fldCharType="end"/>
      </w:r>
      <w:r>
        <w:rPr>
          <w:rFonts w:ascii="Times New Roman" w:hAnsi="Times New Roman"/>
        </w:rPr>
        <w:fldChar w:fldCharType="end"/>
      </w:r>
    </w:p>
    <w:p w14:paraId="64B9F9B6">
      <w:pPr>
        <w:pStyle w:val="24"/>
        <w:tabs>
          <w:tab w:val="right" w:leader="dot" w:pos="9016"/>
        </w:tabs>
        <w:rPr>
          <w:rFonts w:ascii="Times New Roman" w:hAnsi="Times New Roman" w:eastAsiaTheme="minorEastAsia"/>
          <w:kern w:val="2"/>
          <w:szCs w:val="24"/>
          <w:lang w:val="en-US" w:eastAsia="zh-CN"/>
        </w:rPr>
      </w:pPr>
      <w:r>
        <w:fldChar w:fldCharType="begin"/>
      </w:r>
      <w:r>
        <w:instrText xml:space="preserve"> HYPERLINK \l "_Toc220710815" </w:instrText>
      </w:r>
      <w:r>
        <w:fldChar w:fldCharType="separate"/>
      </w:r>
      <w:r>
        <w:rPr>
          <w:rStyle w:val="16"/>
          <w:rFonts w:ascii="Times New Roman" w:hAnsi="Times New Roman"/>
          <w:color w:val="auto"/>
        </w:rPr>
        <w:t>Consultation During Project Duration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_Toc220710815 \h </w:instrText>
      </w:r>
      <w:r>
        <w:rPr>
          <w:rFonts w:ascii="Times New Roman" w:hAnsi="Times New Roman"/>
        </w:rPr>
        <w:fldChar w:fldCharType="separate"/>
      </w:r>
      <w:r>
        <w:rPr>
          <w:rFonts w:ascii="Times New Roman" w:hAnsi="Times New Roman"/>
        </w:rPr>
        <w:t>50</w:t>
      </w:r>
      <w:r>
        <w:rPr>
          <w:rFonts w:ascii="Times New Roman" w:hAnsi="Times New Roman"/>
        </w:rPr>
        <w:fldChar w:fldCharType="end"/>
      </w:r>
      <w:r>
        <w:rPr>
          <w:rFonts w:ascii="Times New Roman" w:hAnsi="Times New Roman"/>
        </w:rPr>
        <w:fldChar w:fldCharType="end"/>
      </w:r>
    </w:p>
    <w:p w14:paraId="4DAD9495">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"_Toc220710816" </w:instrText>
      </w:r>
      <w:r>
        <w:fldChar w:fldCharType="separate"/>
      </w:r>
      <w:r>
        <w:rPr>
          <w:rStyle w:val="16"/>
          <w:rFonts w:ascii="Times New Roman" w:hAnsi="Times New Roman" w:eastAsia="MS Gothic"/>
          <w:color w:val="auto"/>
        </w:rPr>
        <w:t>4.6</w:t>
      </w:r>
      <w:r>
        <w:rPr>
          <w:rFonts w:ascii="Times New Roman" w:hAnsi="Times New Roman" w:eastAsiaTheme="minorEastAsia"/>
          <w:kern w:val="2"/>
          <w:szCs w:val="24"/>
          <w:lang w:val="en-US" w:eastAsia="zh-CN"/>
        </w:rPr>
        <w:tab/>
      </w:r>
      <w:r>
        <w:rPr>
          <w:rStyle w:val="16"/>
          <w:rFonts w:ascii="Times New Roman" w:hAnsi="Times New Roman" w:eastAsia="MS Gothic"/>
          <w:color w:val="auto"/>
        </w:rPr>
        <w:t>Community Relations in Construction Phase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_Toc220710816 \h </w:instrText>
      </w:r>
      <w:r>
        <w:rPr>
          <w:rFonts w:ascii="Times New Roman" w:hAnsi="Times New Roman"/>
        </w:rPr>
        <w:fldChar w:fldCharType="separate"/>
      </w:r>
      <w:r>
        <w:rPr>
          <w:rFonts w:ascii="Times New Roman" w:hAnsi="Times New Roman"/>
        </w:rPr>
        <w:t>51</w:t>
      </w:r>
      <w:r>
        <w:rPr>
          <w:rFonts w:ascii="Times New Roman" w:hAnsi="Times New Roman"/>
        </w:rPr>
        <w:fldChar w:fldCharType="end"/>
      </w:r>
      <w:r>
        <w:rPr>
          <w:rFonts w:ascii="Times New Roman" w:hAnsi="Times New Roman"/>
        </w:rPr>
        <w:fldChar w:fldCharType="end"/>
      </w:r>
    </w:p>
    <w:p w14:paraId="1729ED53">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"_Toc220710817" </w:instrText>
      </w:r>
      <w:r>
        <w:fldChar w:fldCharType="separate"/>
      </w:r>
      <w:r>
        <w:rPr>
          <w:rStyle w:val="16"/>
          <w:rFonts w:ascii="Times New Roman" w:hAnsi="Times New Roman" w:eastAsia="MS Gothic"/>
          <w:color w:val="auto"/>
        </w:rPr>
        <w:t>4.7</w:t>
      </w:r>
      <w:r>
        <w:rPr>
          <w:rFonts w:ascii="Times New Roman" w:hAnsi="Times New Roman" w:eastAsiaTheme="minorEastAsia"/>
          <w:kern w:val="2"/>
          <w:szCs w:val="24"/>
          <w:lang w:val="en-US" w:eastAsia="zh-CN"/>
        </w:rPr>
        <w:tab/>
      </w:r>
      <w:r>
        <w:rPr>
          <w:rStyle w:val="16"/>
          <w:rFonts w:ascii="Times New Roman" w:hAnsi="Times New Roman" w:eastAsia="MS Gothic"/>
          <w:color w:val="auto"/>
        </w:rPr>
        <w:t>Construction Contractor’s Role in Community Liaison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_Toc220710817 \h </w:instrText>
      </w:r>
      <w:r>
        <w:rPr>
          <w:rFonts w:ascii="Times New Roman" w:hAnsi="Times New Roman"/>
        </w:rPr>
        <w:fldChar w:fldCharType="separate"/>
      </w:r>
      <w:r>
        <w:rPr>
          <w:rFonts w:ascii="Times New Roman" w:hAnsi="Times New Roman"/>
        </w:rPr>
        <w:t>51</w:t>
      </w:r>
      <w:r>
        <w:rPr>
          <w:rFonts w:ascii="Times New Roman" w:hAnsi="Times New Roman"/>
        </w:rPr>
        <w:fldChar w:fldCharType="end"/>
      </w:r>
      <w:r>
        <w:rPr>
          <w:rFonts w:ascii="Times New Roman" w:hAnsi="Times New Roman"/>
        </w:rPr>
        <w:fldChar w:fldCharType="end"/>
      </w:r>
    </w:p>
    <w:p w14:paraId="3E8250C9">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"_Toc220710818" </w:instrText>
      </w:r>
      <w:r>
        <w:fldChar w:fldCharType="separate"/>
      </w:r>
      <w:r>
        <w:rPr>
          <w:rStyle w:val="16"/>
          <w:rFonts w:ascii="Times New Roman" w:hAnsi="Times New Roman" w:eastAsia="MS Gothic"/>
          <w:color w:val="auto"/>
        </w:rPr>
        <w:t>4.8</w:t>
      </w:r>
      <w:r>
        <w:rPr>
          <w:rFonts w:ascii="Times New Roman" w:hAnsi="Times New Roman" w:eastAsiaTheme="minorEastAsia"/>
          <w:kern w:val="2"/>
          <w:szCs w:val="24"/>
          <w:lang w:val="en-US" w:eastAsia="zh-CN"/>
        </w:rPr>
        <w:tab/>
      </w:r>
      <w:r>
        <w:rPr>
          <w:rStyle w:val="16"/>
          <w:rFonts w:ascii="Times New Roman" w:hAnsi="Times New Roman" w:eastAsia="MS Gothic"/>
          <w:color w:val="auto"/>
        </w:rPr>
        <w:t>Community Relations in Operational Phase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_Toc220710818 \h </w:instrText>
      </w:r>
      <w:r>
        <w:rPr>
          <w:rFonts w:ascii="Times New Roman" w:hAnsi="Times New Roman"/>
        </w:rPr>
        <w:fldChar w:fldCharType="separate"/>
      </w:r>
      <w:r>
        <w:rPr>
          <w:rFonts w:ascii="Times New Roman" w:hAnsi="Times New Roman"/>
        </w:rPr>
        <w:t>52</w:t>
      </w:r>
      <w:r>
        <w:rPr>
          <w:rFonts w:ascii="Times New Roman" w:hAnsi="Times New Roman"/>
        </w:rPr>
        <w:fldChar w:fldCharType="end"/>
      </w:r>
      <w:r>
        <w:rPr>
          <w:rFonts w:ascii="Times New Roman" w:hAnsi="Times New Roman"/>
        </w:rPr>
        <w:fldChar w:fldCharType="end"/>
      </w:r>
    </w:p>
    <w:p w14:paraId="2861FB60">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"_Toc220710819" </w:instrText>
      </w:r>
      <w:r>
        <w:fldChar w:fldCharType="separate"/>
      </w:r>
      <w:r>
        <w:rPr>
          <w:rStyle w:val="16"/>
          <w:rFonts w:ascii="Times New Roman" w:hAnsi="Times New Roman" w:eastAsia="MS Gothic"/>
          <w:color w:val="auto"/>
        </w:rPr>
        <w:t>4.9</w:t>
      </w:r>
      <w:r>
        <w:rPr>
          <w:rFonts w:ascii="Times New Roman" w:hAnsi="Times New Roman" w:eastAsiaTheme="minorEastAsia"/>
          <w:kern w:val="2"/>
          <w:szCs w:val="24"/>
          <w:lang w:val="en-US" w:eastAsia="zh-CN"/>
        </w:rPr>
        <w:tab/>
      </w:r>
      <w:r>
        <w:rPr>
          <w:rStyle w:val="16"/>
          <w:rFonts w:ascii="Times New Roman" w:hAnsi="Times New Roman" w:eastAsia="MS Gothic"/>
          <w:color w:val="auto"/>
        </w:rPr>
        <w:t>Grievance Redress Management Plan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_Toc220710819 \h </w:instrText>
      </w:r>
      <w:r>
        <w:rPr>
          <w:rFonts w:ascii="Times New Roman" w:hAnsi="Times New Roman"/>
        </w:rPr>
        <w:fldChar w:fldCharType="separate"/>
      </w:r>
      <w:r>
        <w:rPr>
          <w:rFonts w:ascii="Times New Roman" w:hAnsi="Times New Roman"/>
        </w:rPr>
        <w:t>52</w:t>
      </w:r>
      <w:r>
        <w:rPr>
          <w:rFonts w:ascii="Times New Roman" w:hAnsi="Times New Roman"/>
        </w:rPr>
        <w:fldChar w:fldCharType="end"/>
      </w:r>
      <w:r>
        <w:rPr>
          <w:rFonts w:ascii="Times New Roman" w:hAnsi="Times New Roman"/>
        </w:rPr>
        <w:fldChar w:fldCharType="end"/>
      </w:r>
    </w:p>
    <w:p w14:paraId="51F548DF">
      <w:pPr>
        <w:pStyle w:val="23"/>
        <w:tabs>
          <w:tab w:val="left" w:pos="440"/>
          <w:tab w:val="right" w:leader="dot" w:pos="9016"/>
        </w:tabs>
        <w:rPr>
          <w:rFonts w:ascii="Times New Roman" w:hAnsi="Times New Roman" w:eastAsiaTheme="minorEastAsia"/>
          <w:kern w:val="2"/>
          <w:szCs w:val="24"/>
          <w:lang w:val="en-US" w:eastAsia="zh-CN"/>
        </w:rPr>
      </w:pPr>
      <w:r>
        <w:fldChar w:fldCharType="begin"/>
      </w:r>
      <w:r>
        <w:instrText xml:space="preserve"> HYPERLINK \l "_Toc220710820" </w:instrText>
      </w:r>
      <w:r>
        <w:fldChar w:fldCharType="separate"/>
      </w:r>
      <w:r>
        <w:rPr>
          <w:rStyle w:val="16"/>
          <w:rFonts w:ascii="Times New Roman" w:hAnsi="Times New Roman"/>
          <w:color w:val="auto"/>
        </w:rPr>
        <w:t>5</w:t>
      </w:r>
      <w:r>
        <w:rPr>
          <w:rFonts w:ascii="Times New Roman" w:hAnsi="Times New Roman" w:eastAsiaTheme="minorEastAsia"/>
          <w:kern w:val="2"/>
          <w:szCs w:val="24"/>
          <w:lang w:val="en-US" w:eastAsia="zh-CN"/>
        </w:rPr>
        <w:tab/>
      </w:r>
      <w:r>
        <w:rPr>
          <w:rStyle w:val="16"/>
          <w:rFonts w:ascii="Times New Roman" w:hAnsi="Times New Roman"/>
          <w:color w:val="auto"/>
        </w:rPr>
        <w:t>ALTERNATIVES TO THE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_Toc220710820 \h </w:instrText>
      </w:r>
      <w:r>
        <w:rPr>
          <w:rFonts w:ascii="Times New Roman" w:hAnsi="Times New Roman"/>
        </w:rPr>
        <w:fldChar w:fldCharType="separate"/>
      </w:r>
      <w:r>
        <w:rPr>
          <w:rFonts w:ascii="Times New Roman" w:hAnsi="Times New Roman"/>
        </w:rPr>
        <w:t>53</w:t>
      </w:r>
      <w:r>
        <w:rPr>
          <w:rFonts w:ascii="Times New Roman" w:hAnsi="Times New Roman"/>
        </w:rPr>
        <w:fldChar w:fldCharType="end"/>
      </w:r>
      <w:r>
        <w:rPr>
          <w:rFonts w:ascii="Times New Roman" w:hAnsi="Times New Roman"/>
        </w:rPr>
        <w:fldChar w:fldCharType="end"/>
      </w:r>
    </w:p>
    <w:p w14:paraId="49F9794A">
      <w:pPr>
        <w:pStyle w:val="24"/>
        <w:tabs>
          <w:tab w:val="right" w:leader="dot" w:pos="9016"/>
        </w:tabs>
        <w:rPr>
          <w:rFonts w:ascii="Times New Roman" w:hAnsi="Times New Roman" w:eastAsiaTheme="minorEastAsia"/>
          <w:kern w:val="2"/>
          <w:szCs w:val="24"/>
          <w:lang w:val="en-US" w:eastAsia="zh-CN"/>
        </w:rPr>
      </w:pPr>
      <w:r>
        <w:fldChar w:fldCharType="begin"/>
      </w:r>
      <w:r>
        <w:instrText xml:space="preserve"> HYPERLINK \l "_Toc220710821" </w:instrText>
      </w:r>
      <w:r>
        <w:fldChar w:fldCharType="separate"/>
      </w:r>
      <w:r>
        <w:rPr>
          <w:rStyle w:val="16"/>
          <w:rFonts w:ascii="Times New Roman" w:hAnsi="Times New Roman"/>
          <w:color w:val="auto"/>
        </w:rPr>
        <w:t>No Action Alternative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_Toc220710821 \h </w:instrText>
      </w:r>
      <w:r>
        <w:rPr>
          <w:rFonts w:ascii="Times New Roman" w:hAnsi="Times New Roman"/>
        </w:rPr>
        <w:fldChar w:fldCharType="separate"/>
      </w:r>
      <w:r>
        <w:rPr>
          <w:rFonts w:ascii="Times New Roman" w:hAnsi="Times New Roman"/>
        </w:rPr>
        <w:t>53</w:t>
      </w:r>
      <w:r>
        <w:rPr>
          <w:rFonts w:ascii="Times New Roman" w:hAnsi="Times New Roman"/>
        </w:rPr>
        <w:fldChar w:fldCharType="end"/>
      </w:r>
      <w:r>
        <w:rPr>
          <w:rFonts w:ascii="Times New Roman" w:hAnsi="Times New Roman"/>
        </w:rPr>
        <w:fldChar w:fldCharType="end"/>
      </w:r>
    </w:p>
    <w:p w14:paraId="02AEE367">
      <w:pPr>
        <w:pStyle w:val="24"/>
        <w:tabs>
          <w:tab w:val="right" w:leader="dot" w:pos="9016"/>
        </w:tabs>
        <w:rPr>
          <w:rFonts w:ascii="Times New Roman" w:hAnsi="Times New Roman" w:eastAsiaTheme="minorEastAsia"/>
          <w:kern w:val="2"/>
          <w:szCs w:val="24"/>
          <w:lang w:val="en-US" w:eastAsia="zh-CN"/>
        </w:rPr>
      </w:pPr>
      <w:r>
        <w:fldChar w:fldCharType="begin"/>
      </w:r>
      <w:r>
        <w:instrText xml:space="preserve"> HYPERLINK \l "_Toc220710822" </w:instrText>
      </w:r>
      <w:r>
        <w:fldChar w:fldCharType="separate"/>
      </w:r>
      <w:r>
        <w:rPr>
          <w:rStyle w:val="16"/>
          <w:rFonts w:ascii="Times New Roman" w:hAnsi="Times New Roman"/>
          <w:color w:val="auto"/>
        </w:rPr>
        <w:t>Design Alternative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_Toc220710822 \h </w:instrText>
      </w:r>
      <w:r>
        <w:rPr>
          <w:rFonts w:ascii="Times New Roman" w:hAnsi="Times New Roman"/>
        </w:rPr>
        <w:fldChar w:fldCharType="separate"/>
      </w:r>
      <w:r>
        <w:rPr>
          <w:rFonts w:ascii="Times New Roman" w:hAnsi="Times New Roman"/>
        </w:rPr>
        <w:t>53</w:t>
      </w:r>
      <w:r>
        <w:rPr>
          <w:rFonts w:ascii="Times New Roman" w:hAnsi="Times New Roman"/>
        </w:rPr>
        <w:fldChar w:fldCharType="end"/>
      </w:r>
      <w:r>
        <w:rPr>
          <w:rFonts w:ascii="Times New Roman" w:hAnsi="Times New Roman"/>
        </w:rPr>
        <w:fldChar w:fldCharType="end"/>
      </w:r>
    </w:p>
    <w:p w14:paraId="0A569FE4">
      <w:pPr>
        <w:pStyle w:val="24"/>
        <w:tabs>
          <w:tab w:val="right" w:leader="dot" w:pos="9016"/>
        </w:tabs>
        <w:rPr>
          <w:rFonts w:ascii="Times New Roman" w:hAnsi="Times New Roman" w:eastAsiaTheme="minorEastAsia"/>
          <w:kern w:val="2"/>
          <w:szCs w:val="24"/>
          <w:lang w:val="en-US" w:eastAsia="zh-CN"/>
        </w:rPr>
      </w:pPr>
      <w:r>
        <w:fldChar w:fldCharType="begin"/>
      </w:r>
      <w:r>
        <w:instrText xml:space="preserve"> HYPERLINK \l "_Toc220710823" </w:instrText>
      </w:r>
      <w:r>
        <w:fldChar w:fldCharType="separate"/>
      </w:r>
      <w:r>
        <w:rPr>
          <w:rStyle w:val="16"/>
          <w:rFonts w:ascii="Times New Roman" w:hAnsi="Times New Roman"/>
          <w:color w:val="auto"/>
        </w:rPr>
        <w:t>Site Alternative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_Toc220710823 \h </w:instrText>
      </w:r>
      <w:r>
        <w:rPr>
          <w:rFonts w:ascii="Times New Roman" w:hAnsi="Times New Roman"/>
        </w:rPr>
        <w:fldChar w:fldCharType="separate"/>
      </w:r>
      <w:r>
        <w:rPr>
          <w:rFonts w:ascii="Times New Roman" w:hAnsi="Times New Roman"/>
        </w:rPr>
        <w:t>53</w:t>
      </w:r>
      <w:r>
        <w:rPr>
          <w:rFonts w:ascii="Times New Roman" w:hAnsi="Times New Roman"/>
        </w:rPr>
        <w:fldChar w:fldCharType="end"/>
      </w:r>
      <w:r>
        <w:rPr>
          <w:rFonts w:ascii="Times New Roman" w:hAnsi="Times New Roman"/>
        </w:rPr>
        <w:fldChar w:fldCharType="end"/>
      </w:r>
    </w:p>
    <w:p w14:paraId="3840AD85">
      <w:pPr>
        <w:pStyle w:val="23"/>
        <w:tabs>
          <w:tab w:val="left" w:pos="440"/>
          <w:tab w:val="right" w:leader="dot" w:pos="9016"/>
        </w:tabs>
        <w:rPr>
          <w:rFonts w:ascii="Times New Roman" w:hAnsi="Times New Roman" w:eastAsiaTheme="minorEastAsia"/>
          <w:kern w:val="2"/>
          <w:szCs w:val="24"/>
          <w:lang w:val="en-US" w:eastAsia="zh-CN"/>
        </w:rPr>
      </w:pPr>
      <w:r>
        <w:fldChar w:fldCharType="begin"/>
      </w:r>
      <w:r>
        <w:instrText xml:space="preserve"> HYPERLINK \l "_Toc220710824" </w:instrText>
      </w:r>
      <w:r>
        <w:fldChar w:fldCharType="separate"/>
      </w:r>
      <w:r>
        <w:rPr>
          <w:rStyle w:val="16"/>
          <w:rFonts w:ascii="Times New Roman" w:hAnsi="Times New Roman"/>
          <w:color w:val="auto"/>
        </w:rPr>
        <w:t>6</w:t>
      </w:r>
      <w:r>
        <w:rPr>
          <w:rFonts w:ascii="Times New Roman" w:hAnsi="Times New Roman" w:eastAsiaTheme="minorEastAsia"/>
          <w:kern w:val="2"/>
          <w:szCs w:val="24"/>
          <w:lang w:val="en-US" w:eastAsia="zh-CN"/>
        </w:rPr>
        <w:tab/>
      </w:r>
      <w:r>
        <w:rPr>
          <w:rStyle w:val="16"/>
          <w:rFonts w:ascii="Times New Roman" w:hAnsi="Times New Roman"/>
          <w:color w:val="auto"/>
        </w:rPr>
        <w:t>RELEVANT LEGISLATIVE/ REGULATORY FRAMEWORK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_Toc220710824 \h </w:instrText>
      </w:r>
      <w:r>
        <w:rPr>
          <w:rFonts w:ascii="Times New Roman" w:hAnsi="Times New Roman"/>
        </w:rPr>
        <w:fldChar w:fldCharType="separate"/>
      </w:r>
      <w:r>
        <w:rPr>
          <w:rFonts w:ascii="Times New Roman" w:hAnsi="Times New Roman"/>
        </w:rPr>
        <w:t>54</w:t>
      </w:r>
      <w:r>
        <w:rPr>
          <w:rFonts w:ascii="Times New Roman" w:hAnsi="Times New Roman"/>
        </w:rPr>
        <w:fldChar w:fldCharType="end"/>
      </w:r>
      <w:r>
        <w:rPr>
          <w:rFonts w:ascii="Times New Roman" w:hAnsi="Times New Roman"/>
        </w:rPr>
        <w:fldChar w:fldCharType="end"/>
      </w:r>
    </w:p>
    <w:p w14:paraId="244DA0EC">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"_Toc220710825" </w:instrText>
      </w:r>
      <w:r>
        <w:fldChar w:fldCharType="separate"/>
      </w:r>
      <w:r>
        <w:rPr>
          <w:rStyle w:val="16"/>
          <w:rFonts w:ascii="Times New Roman" w:hAnsi="Times New Roman"/>
          <w:color w:val="auto"/>
        </w:rPr>
        <w:t>6.1</w:t>
      </w:r>
      <w:r>
        <w:rPr>
          <w:rFonts w:ascii="Times New Roman" w:hAnsi="Times New Roman" w:eastAsiaTheme="minorEastAsia"/>
          <w:kern w:val="2"/>
          <w:szCs w:val="24"/>
          <w:lang w:val="en-US" w:eastAsia="zh-CN"/>
        </w:rPr>
        <w:tab/>
      </w:r>
      <w:r>
        <w:rPr>
          <w:rStyle w:val="16"/>
          <w:rFonts w:ascii="Times New Roman" w:hAnsi="Times New Roman"/>
          <w:color w:val="auto"/>
        </w:rPr>
        <w:t>Policy Framework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_Toc220710825 \h </w:instrText>
      </w:r>
      <w:r>
        <w:rPr>
          <w:rFonts w:ascii="Times New Roman" w:hAnsi="Times New Roman"/>
        </w:rPr>
        <w:fldChar w:fldCharType="separate"/>
      </w:r>
      <w:r>
        <w:rPr>
          <w:rFonts w:ascii="Times New Roman" w:hAnsi="Times New Roman"/>
        </w:rPr>
        <w:t>54</w:t>
      </w:r>
      <w:r>
        <w:rPr>
          <w:rFonts w:ascii="Times New Roman" w:hAnsi="Times New Roman"/>
        </w:rPr>
        <w:fldChar w:fldCharType="end"/>
      </w:r>
      <w:r>
        <w:rPr>
          <w:rFonts w:ascii="Times New Roman" w:hAnsi="Times New Roman"/>
        </w:rPr>
        <w:fldChar w:fldCharType="end"/>
      </w:r>
    </w:p>
    <w:p w14:paraId="51235194">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"_Toc220710826" </w:instrText>
      </w:r>
      <w:r>
        <w:fldChar w:fldCharType="separate"/>
      </w:r>
      <w:r>
        <w:rPr>
          <w:rStyle w:val="16"/>
          <w:rFonts w:ascii="Times New Roman" w:hAnsi="Times New Roman"/>
          <w:b/>
          <w:color w:val="auto"/>
          <w:lang w:val="en-US"/>
        </w:rPr>
        <w:t>6.1.2</w:t>
      </w:r>
      <w:r>
        <w:rPr>
          <w:rFonts w:ascii="Times New Roman" w:hAnsi="Times New Roman" w:eastAsiaTheme="minorEastAsia"/>
          <w:kern w:val="2"/>
          <w:szCs w:val="24"/>
          <w:lang w:val="en-US" w:eastAsia="zh-CN"/>
        </w:rPr>
        <w:tab/>
      </w:r>
      <w:r>
        <w:rPr>
          <w:rStyle w:val="16"/>
          <w:rFonts w:ascii="Times New Roman" w:hAnsi="Times New Roman"/>
          <w:b/>
          <w:color w:val="auto"/>
          <w:lang w:val="en-US"/>
        </w:rPr>
        <w:t>National Environment Policy (NEP) 2013</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_Toc220710826 \h </w:instrText>
      </w:r>
      <w:r>
        <w:rPr>
          <w:rFonts w:ascii="Times New Roman" w:hAnsi="Times New Roman"/>
        </w:rPr>
        <w:fldChar w:fldCharType="separate"/>
      </w:r>
      <w:r>
        <w:rPr>
          <w:rFonts w:ascii="Times New Roman" w:hAnsi="Times New Roman"/>
        </w:rPr>
        <w:t>54</w:t>
      </w:r>
      <w:r>
        <w:rPr>
          <w:rFonts w:ascii="Times New Roman" w:hAnsi="Times New Roman"/>
        </w:rPr>
        <w:fldChar w:fldCharType="end"/>
      </w:r>
      <w:r>
        <w:rPr>
          <w:rFonts w:ascii="Times New Roman" w:hAnsi="Times New Roman"/>
        </w:rPr>
        <w:fldChar w:fldCharType="end"/>
      </w:r>
    </w:p>
    <w:p w14:paraId="52FD7E6B">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"_Toc220710827" </w:instrText>
      </w:r>
      <w:r>
        <w:fldChar w:fldCharType="separate"/>
      </w:r>
      <w:r>
        <w:rPr>
          <w:rStyle w:val="16"/>
          <w:rFonts w:ascii="Times New Roman" w:hAnsi="Times New Roman"/>
          <w:b/>
          <w:color w:val="auto"/>
          <w:lang w:val="en-US"/>
        </w:rPr>
        <w:t>6.1.3</w:t>
      </w:r>
      <w:r>
        <w:rPr>
          <w:rFonts w:ascii="Times New Roman" w:hAnsi="Times New Roman" w:eastAsiaTheme="minorEastAsia"/>
          <w:kern w:val="2"/>
          <w:szCs w:val="24"/>
          <w:lang w:val="en-US" w:eastAsia="zh-CN"/>
        </w:rPr>
        <w:tab/>
      </w:r>
      <w:r>
        <w:rPr>
          <w:rStyle w:val="16"/>
          <w:rFonts w:ascii="Times New Roman" w:hAnsi="Times New Roman"/>
          <w:b/>
          <w:color w:val="auto"/>
          <w:lang w:val="en-US"/>
        </w:rPr>
        <w:t>Kenya Vision 2030</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_Toc220710827 \h </w:instrText>
      </w:r>
      <w:r>
        <w:rPr>
          <w:rFonts w:ascii="Times New Roman" w:hAnsi="Times New Roman"/>
        </w:rPr>
        <w:fldChar w:fldCharType="separate"/>
      </w:r>
      <w:r>
        <w:rPr>
          <w:rFonts w:ascii="Times New Roman" w:hAnsi="Times New Roman"/>
        </w:rPr>
        <w:t>54</w:t>
      </w:r>
      <w:r>
        <w:rPr>
          <w:rFonts w:ascii="Times New Roman" w:hAnsi="Times New Roman"/>
        </w:rPr>
        <w:fldChar w:fldCharType="end"/>
      </w:r>
      <w:r>
        <w:rPr>
          <w:rFonts w:ascii="Times New Roman" w:hAnsi="Times New Roman"/>
        </w:rPr>
        <w:fldChar w:fldCharType="end"/>
      </w:r>
    </w:p>
    <w:p w14:paraId="61E7BF09">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"_Toc220710828" </w:instrText>
      </w:r>
      <w:r>
        <w:fldChar w:fldCharType="separate"/>
      </w:r>
      <w:r>
        <w:rPr>
          <w:rStyle w:val="16"/>
          <w:rFonts w:ascii="Times New Roman" w:hAnsi="Times New Roman"/>
          <w:b/>
          <w:color w:val="auto"/>
          <w:lang w:val="en-US"/>
        </w:rPr>
        <w:t>6.1.4</w:t>
      </w:r>
      <w:r>
        <w:rPr>
          <w:rFonts w:ascii="Times New Roman" w:hAnsi="Times New Roman" w:eastAsiaTheme="minorEastAsia"/>
          <w:kern w:val="2"/>
          <w:szCs w:val="24"/>
          <w:lang w:val="en-US" w:eastAsia="zh-CN"/>
        </w:rPr>
        <w:tab/>
      </w:r>
      <w:r>
        <w:rPr>
          <w:rStyle w:val="16"/>
          <w:rFonts w:ascii="Times New Roman" w:hAnsi="Times New Roman"/>
          <w:b/>
          <w:color w:val="auto"/>
          <w:lang w:val="en-US"/>
        </w:rPr>
        <w:t>The National Environmental Sanitation and Hygiene Policy-July 2007</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_Toc220710828 \h </w:instrText>
      </w:r>
      <w:r>
        <w:rPr>
          <w:rFonts w:ascii="Times New Roman" w:hAnsi="Times New Roman"/>
        </w:rPr>
        <w:fldChar w:fldCharType="separate"/>
      </w:r>
      <w:r>
        <w:rPr>
          <w:rFonts w:ascii="Times New Roman" w:hAnsi="Times New Roman"/>
        </w:rPr>
        <w:t>54</w:t>
      </w:r>
      <w:r>
        <w:rPr>
          <w:rFonts w:ascii="Times New Roman" w:hAnsi="Times New Roman"/>
        </w:rPr>
        <w:fldChar w:fldCharType="end"/>
      </w:r>
      <w:r>
        <w:rPr>
          <w:rFonts w:ascii="Times New Roman" w:hAnsi="Times New Roman"/>
        </w:rPr>
        <w:fldChar w:fldCharType="end"/>
      </w:r>
    </w:p>
    <w:p w14:paraId="1298B941">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"_Toc220710829" </w:instrText>
      </w:r>
      <w:r>
        <w:fldChar w:fldCharType="separate"/>
      </w:r>
      <w:r>
        <w:rPr>
          <w:rStyle w:val="16"/>
          <w:rFonts w:ascii="Times New Roman" w:hAnsi="Times New Roman"/>
          <w:b/>
          <w:color w:val="auto"/>
          <w:lang w:val="en-US"/>
        </w:rPr>
        <w:t>6.1.5</w:t>
      </w:r>
      <w:r>
        <w:rPr>
          <w:rFonts w:ascii="Times New Roman" w:hAnsi="Times New Roman" w:eastAsiaTheme="minorEastAsia"/>
          <w:kern w:val="2"/>
          <w:szCs w:val="24"/>
          <w:lang w:val="en-US" w:eastAsia="zh-CN"/>
        </w:rPr>
        <w:tab/>
      </w:r>
      <w:r>
        <w:rPr>
          <w:rStyle w:val="16"/>
          <w:rFonts w:ascii="Times New Roman" w:hAnsi="Times New Roman"/>
          <w:b/>
          <w:color w:val="auto"/>
          <w:lang w:val="en-US"/>
        </w:rPr>
        <w:t>National Policy on Gender and Development, 2019</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_Toc220710829 \h </w:instrText>
      </w:r>
      <w:r>
        <w:rPr>
          <w:rFonts w:ascii="Times New Roman" w:hAnsi="Times New Roman"/>
        </w:rPr>
        <w:fldChar w:fldCharType="separate"/>
      </w:r>
      <w:r>
        <w:rPr>
          <w:rFonts w:ascii="Times New Roman" w:hAnsi="Times New Roman"/>
        </w:rPr>
        <w:t>55</w:t>
      </w:r>
      <w:r>
        <w:rPr>
          <w:rFonts w:ascii="Times New Roman" w:hAnsi="Times New Roman"/>
        </w:rPr>
        <w:fldChar w:fldCharType="end"/>
      </w:r>
      <w:r>
        <w:rPr>
          <w:rFonts w:ascii="Times New Roman" w:hAnsi="Times New Roman"/>
        </w:rPr>
        <w:fldChar w:fldCharType="end"/>
      </w:r>
    </w:p>
    <w:p w14:paraId="0807A532">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"_Toc220710830" </w:instrText>
      </w:r>
      <w:r>
        <w:fldChar w:fldCharType="separate"/>
      </w:r>
      <w:r>
        <w:rPr>
          <w:rStyle w:val="16"/>
          <w:rFonts w:ascii="Times New Roman" w:hAnsi="Times New Roman"/>
          <w:b/>
          <w:color w:val="auto"/>
          <w:lang w:val="en-US"/>
        </w:rPr>
        <w:t>6.1.6</w:t>
      </w:r>
      <w:r>
        <w:rPr>
          <w:rFonts w:ascii="Times New Roman" w:hAnsi="Times New Roman" w:eastAsiaTheme="minorEastAsia"/>
          <w:kern w:val="2"/>
          <w:szCs w:val="24"/>
          <w:lang w:val="en-US" w:eastAsia="zh-CN"/>
        </w:rPr>
        <w:tab/>
      </w:r>
      <w:r>
        <w:rPr>
          <w:rStyle w:val="16"/>
          <w:rFonts w:ascii="Times New Roman" w:hAnsi="Times New Roman"/>
          <w:b/>
          <w:color w:val="auto"/>
          <w:lang w:val="en-US"/>
        </w:rPr>
        <w:t>National Policy for Prevention and Response to Gender-Based Violence, 2014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_Toc220710830 \h </w:instrText>
      </w:r>
      <w:r>
        <w:rPr>
          <w:rFonts w:ascii="Times New Roman" w:hAnsi="Times New Roman"/>
        </w:rPr>
        <w:fldChar w:fldCharType="separate"/>
      </w:r>
      <w:r>
        <w:rPr>
          <w:rFonts w:ascii="Times New Roman" w:hAnsi="Times New Roman"/>
        </w:rPr>
        <w:t>55</w:t>
      </w:r>
      <w:r>
        <w:rPr>
          <w:rFonts w:ascii="Times New Roman" w:hAnsi="Times New Roman"/>
        </w:rPr>
        <w:fldChar w:fldCharType="end"/>
      </w:r>
      <w:r>
        <w:rPr>
          <w:rFonts w:ascii="Times New Roman" w:hAnsi="Times New Roman"/>
        </w:rPr>
        <w:fldChar w:fldCharType="end"/>
      </w:r>
    </w:p>
    <w:p w14:paraId="28591395">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"_Toc220710831" </w:instrText>
      </w:r>
      <w:r>
        <w:fldChar w:fldCharType="separate"/>
      </w:r>
      <w:r>
        <w:rPr>
          <w:rStyle w:val="16"/>
          <w:rFonts w:ascii="Times New Roman" w:hAnsi="Times New Roman"/>
          <w:color w:val="auto"/>
        </w:rPr>
        <w:t>6.2</w:t>
      </w:r>
      <w:r>
        <w:rPr>
          <w:rFonts w:ascii="Times New Roman" w:hAnsi="Times New Roman" w:eastAsiaTheme="minorEastAsia"/>
          <w:kern w:val="2"/>
          <w:szCs w:val="24"/>
          <w:lang w:val="en-US" w:eastAsia="zh-CN"/>
        </w:rPr>
        <w:tab/>
      </w:r>
      <w:r>
        <w:rPr>
          <w:rStyle w:val="16"/>
          <w:rFonts w:ascii="Times New Roman" w:hAnsi="Times New Roman"/>
          <w:color w:val="auto"/>
        </w:rPr>
        <w:t>Legal Framework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_Toc220710831 \h </w:instrText>
      </w:r>
      <w:r>
        <w:rPr>
          <w:rFonts w:ascii="Times New Roman" w:hAnsi="Times New Roman"/>
        </w:rPr>
        <w:fldChar w:fldCharType="separate"/>
      </w:r>
      <w:r>
        <w:rPr>
          <w:rFonts w:ascii="Times New Roman" w:hAnsi="Times New Roman"/>
        </w:rPr>
        <w:t>55</w:t>
      </w:r>
      <w:r>
        <w:rPr>
          <w:rFonts w:ascii="Times New Roman" w:hAnsi="Times New Roman"/>
        </w:rPr>
        <w:fldChar w:fldCharType="end"/>
      </w:r>
      <w:r>
        <w:rPr>
          <w:rFonts w:ascii="Times New Roman" w:hAnsi="Times New Roman"/>
        </w:rPr>
        <w:fldChar w:fldCharType="end"/>
      </w:r>
    </w:p>
    <w:p w14:paraId="7C50F93E">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"_Toc220710832" </w:instrText>
      </w:r>
      <w:r>
        <w:fldChar w:fldCharType="separate"/>
      </w:r>
      <w:r>
        <w:rPr>
          <w:rStyle w:val="16"/>
          <w:rFonts w:ascii="Times New Roman" w:hAnsi="Times New Roman"/>
          <w:b/>
          <w:color w:val="auto"/>
          <w:lang w:val="en-US"/>
        </w:rPr>
        <w:t>6.2.1</w:t>
      </w:r>
      <w:r>
        <w:rPr>
          <w:rFonts w:ascii="Times New Roman" w:hAnsi="Times New Roman" w:eastAsiaTheme="minorEastAsia"/>
          <w:kern w:val="2"/>
          <w:szCs w:val="24"/>
          <w:lang w:val="en-US" w:eastAsia="zh-CN"/>
        </w:rPr>
        <w:tab/>
      </w:r>
      <w:r>
        <w:rPr>
          <w:rStyle w:val="16"/>
          <w:rFonts w:ascii="Times New Roman" w:hAnsi="Times New Roman"/>
          <w:b/>
          <w:color w:val="auto"/>
          <w:lang w:val="en-US"/>
        </w:rPr>
        <w:t xml:space="preserve">Environmental Management and Coordination Act of 1999 (EMCA) and </w:t>
      </w:r>
      <w:r>
        <w:rPr>
          <w:rStyle w:val="16"/>
          <w:rFonts w:ascii="Times New Roman" w:hAnsi="Times New Roman"/>
          <w:b/>
          <w:bCs/>
          <w:color w:val="auto"/>
          <w:lang w:val="en-US"/>
        </w:rPr>
        <w:t>Environmental Management and Coordination (Amendment) Act 2015</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_Toc220710832 \h </w:instrText>
      </w:r>
      <w:r>
        <w:rPr>
          <w:rFonts w:ascii="Times New Roman" w:hAnsi="Times New Roman"/>
        </w:rPr>
        <w:fldChar w:fldCharType="separate"/>
      </w:r>
      <w:r>
        <w:rPr>
          <w:rFonts w:ascii="Times New Roman" w:hAnsi="Times New Roman"/>
        </w:rPr>
        <w:t>55</w:t>
      </w:r>
      <w:r>
        <w:rPr>
          <w:rFonts w:ascii="Times New Roman" w:hAnsi="Times New Roman"/>
        </w:rPr>
        <w:fldChar w:fldCharType="end"/>
      </w:r>
      <w:r>
        <w:rPr>
          <w:rFonts w:ascii="Times New Roman" w:hAnsi="Times New Roman"/>
        </w:rPr>
        <w:fldChar w:fldCharType="end"/>
      </w:r>
    </w:p>
    <w:p w14:paraId="4976AF9E">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"_Toc220710833" </w:instrText>
      </w:r>
      <w:r>
        <w:fldChar w:fldCharType="separate"/>
      </w:r>
      <w:r>
        <w:rPr>
          <w:rStyle w:val="16"/>
          <w:rFonts w:ascii="Times New Roman" w:hAnsi="Times New Roman"/>
          <w:b/>
          <w:color w:val="auto"/>
          <w:lang w:val="en-US"/>
        </w:rPr>
        <w:t>6.2.2</w:t>
      </w:r>
      <w:r>
        <w:rPr>
          <w:rFonts w:ascii="Times New Roman" w:hAnsi="Times New Roman" w:eastAsiaTheme="minorEastAsia"/>
          <w:kern w:val="2"/>
          <w:szCs w:val="24"/>
          <w:lang w:val="en-US" w:eastAsia="zh-CN"/>
        </w:rPr>
        <w:tab/>
      </w:r>
      <w:r>
        <w:rPr>
          <w:rStyle w:val="16"/>
          <w:rFonts w:ascii="Times New Roman" w:hAnsi="Times New Roman"/>
          <w:b/>
          <w:color w:val="auto"/>
          <w:lang w:val="en-US"/>
        </w:rPr>
        <w:t>Environment and Land Court Act, 2011</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_Toc220710833 \h </w:instrText>
      </w:r>
      <w:r>
        <w:rPr>
          <w:rFonts w:ascii="Times New Roman" w:hAnsi="Times New Roman"/>
        </w:rPr>
        <w:fldChar w:fldCharType="separate"/>
      </w:r>
      <w:r>
        <w:rPr>
          <w:rFonts w:ascii="Times New Roman" w:hAnsi="Times New Roman"/>
        </w:rPr>
        <w:t>55</w:t>
      </w:r>
      <w:r>
        <w:rPr>
          <w:rFonts w:ascii="Times New Roman" w:hAnsi="Times New Roman"/>
        </w:rPr>
        <w:fldChar w:fldCharType="end"/>
      </w:r>
      <w:r>
        <w:rPr>
          <w:rFonts w:ascii="Times New Roman" w:hAnsi="Times New Roman"/>
        </w:rPr>
        <w:fldChar w:fldCharType="end"/>
      </w:r>
    </w:p>
    <w:p w14:paraId="693C100C">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"_Toc220710834" </w:instrText>
      </w:r>
      <w:r>
        <w:fldChar w:fldCharType="separate"/>
      </w:r>
      <w:r>
        <w:rPr>
          <w:rStyle w:val="16"/>
          <w:rFonts w:ascii="Times New Roman" w:hAnsi="Times New Roman"/>
          <w:b/>
          <w:color w:val="auto"/>
          <w:lang w:val="en-US"/>
        </w:rPr>
        <w:t>6.2.3</w:t>
      </w:r>
      <w:r>
        <w:rPr>
          <w:rFonts w:ascii="Times New Roman" w:hAnsi="Times New Roman" w:eastAsiaTheme="minorEastAsia"/>
          <w:kern w:val="2"/>
          <w:szCs w:val="24"/>
          <w:lang w:val="en-US" w:eastAsia="zh-CN"/>
        </w:rPr>
        <w:tab/>
      </w:r>
      <w:r>
        <w:rPr>
          <w:rStyle w:val="16"/>
          <w:rFonts w:ascii="Times New Roman" w:hAnsi="Times New Roman"/>
          <w:b/>
          <w:color w:val="auto"/>
          <w:lang w:val="en-US"/>
        </w:rPr>
        <w:t>Land Act, 2012</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_Toc220710834 \h </w:instrText>
      </w:r>
      <w:r>
        <w:rPr>
          <w:rFonts w:ascii="Times New Roman" w:hAnsi="Times New Roman"/>
        </w:rPr>
        <w:fldChar w:fldCharType="separate"/>
      </w:r>
      <w:r>
        <w:rPr>
          <w:rFonts w:ascii="Times New Roman" w:hAnsi="Times New Roman"/>
        </w:rPr>
        <w:t>56</w:t>
      </w:r>
      <w:r>
        <w:rPr>
          <w:rFonts w:ascii="Times New Roman" w:hAnsi="Times New Roman"/>
        </w:rPr>
        <w:fldChar w:fldCharType="end"/>
      </w:r>
      <w:r>
        <w:rPr>
          <w:rFonts w:ascii="Times New Roman" w:hAnsi="Times New Roman"/>
        </w:rPr>
        <w:fldChar w:fldCharType="end"/>
      </w:r>
    </w:p>
    <w:p w14:paraId="4040796C">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"_Toc220710835" </w:instrText>
      </w:r>
      <w:r>
        <w:fldChar w:fldCharType="separate"/>
      </w:r>
      <w:r>
        <w:rPr>
          <w:rStyle w:val="16"/>
          <w:rFonts w:ascii="Times New Roman" w:hAnsi="Times New Roman"/>
          <w:b/>
          <w:color w:val="auto"/>
          <w:lang w:val="en-US"/>
        </w:rPr>
        <w:t>6.2.4</w:t>
      </w:r>
      <w:r>
        <w:rPr>
          <w:rFonts w:ascii="Times New Roman" w:hAnsi="Times New Roman" w:eastAsiaTheme="minorEastAsia"/>
          <w:kern w:val="2"/>
          <w:szCs w:val="24"/>
          <w:lang w:val="en-US" w:eastAsia="zh-CN"/>
        </w:rPr>
        <w:tab/>
      </w:r>
      <w:r>
        <w:rPr>
          <w:rStyle w:val="16"/>
          <w:rFonts w:ascii="Times New Roman" w:hAnsi="Times New Roman"/>
          <w:b/>
          <w:color w:val="auto"/>
          <w:lang w:val="en-US"/>
        </w:rPr>
        <w:t>County Government Act No. 17 of 2012</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_Toc220710835 \h </w:instrText>
      </w:r>
      <w:r>
        <w:rPr>
          <w:rFonts w:ascii="Times New Roman" w:hAnsi="Times New Roman"/>
        </w:rPr>
        <w:fldChar w:fldCharType="separate"/>
      </w:r>
      <w:r>
        <w:rPr>
          <w:rFonts w:ascii="Times New Roman" w:hAnsi="Times New Roman"/>
        </w:rPr>
        <w:t>56</w:t>
      </w:r>
      <w:r>
        <w:rPr>
          <w:rFonts w:ascii="Times New Roman" w:hAnsi="Times New Roman"/>
        </w:rPr>
        <w:fldChar w:fldCharType="end"/>
      </w:r>
      <w:r>
        <w:rPr>
          <w:rFonts w:ascii="Times New Roman" w:hAnsi="Times New Roman"/>
        </w:rPr>
        <w:fldChar w:fldCharType="end"/>
      </w:r>
    </w:p>
    <w:p w14:paraId="047EEEA4">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"_Toc220710836" </w:instrText>
      </w:r>
      <w:r>
        <w:fldChar w:fldCharType="separate"/>
      </w:r>
      <w:r>
        <w:rPr>
          <w:rStyle w:val="16"/>
          <w:rFonts w:ascii="Times New Roman" w:hAnsi="Times New Roman"/>
          <w:b/>
          <w:color w:val="auto"/>
          <w:lang w:val="en-US"/>
        </w:rPr>
        <w:t>6.2.5</w:t>
      </w:r>
      <w:r>
        <w:rPr>
          <w:rFonts w:ascii="Times New Roman" w:hAnsi="Times New Roman" w:eastAsiaTheme="minorEastAsia"/>
          <w:kern w:val="2"/>
          <w:szCs w:val="24"/>
          <w:lang w:val="en-US" w:eastAsia="zh-CN"/>
        </w:rPr>
        <w:tab/>
      </w:r>
      <w:r>
        <w:rPr>
          <w:rStyle w:val="16"/>
          <w:rFonts w:ascii="Times New Roman" w:hAnsi="Times New Roman"/>
          <w:b/>
          <w:color w:val="auto"/>
          <w:lang w:val="en-US"/>
        </w:rPr>
        <w:t>Physical and Land Use Development Plan Act 2019</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_Toc220710836 \h </w:instrText>
      </w:r>
      <w:r>
        <w:rPr>
          <w:rFonts w:ascii="Times New Roman" w:hAnsi="Times New Roman"/>
        </w:rPr>
        <w:fldChar w:fldCharType="separate"/>
      </w:r>
      <w:r>
        <w:rPr>
          <w:rFonts w:ascii="Times New Roman" w:hAnsi="Times New Roman"/>
        </w:rPr>
        <w:t>56</w:t>
      </w:r>
      <w:r>
        <w:rPr>
          <w:rFonts w:ascii="Times New Roman" w:hAnsi="Times New Roman"/>
        </w:rPr>
        <w:fldChar w:fldCharType="end"/>
      </w:r>
      <w:r>
        <w:rPr>
          <w:rFonts w:ascii="Times New Roman" w:hAnsi="Times New Roman"/>
        </w:rPr>
        <w:fldChar w:fldCharType="end"/>
      </w:r>
    </w:p>
    <w:p w14:paraId="1495CB38">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"_Toc220710837" </w:instrText>
      </w:r>
      <w:r>
        <w:fldChar w:fldCharType="separate"/>
      </w:r>
      <w:r>
        <w:rPr>
          <w:rStyle w:val="16"/>
          <w:rFonts w:ascii="Times New Roman" w:hAnsi="Times New Roman"/>
          <w:b/>
          <w:color w:val="auto"/>
          <w:lang w:val="en-US"/>
        </w:rPr>
        <w:t>6.2.6</w:t>
      </w:r>
      <w:r>
        <w:rPr>
          <w:rFonts w:ascii="Times New Roman" w:hAnsi="Times New Roman" w:eastAsiaTheme="minorEastAsia"/>
          <w:kern w:val="2"/>
          <w:szCs w:val="24"/>
          <w:lang w:val="en-US" w:eastAsia="zh-CN"/>
        </w:rPr>
        <w:tab/>
      </w:r>
      <w:r>
        <w:rPr>
          <w:rStyle w:val="16"/>
          <w:rFonts w:ascii="Times New Roman" w:hAnsi="Times New Roman"/>
          <w:b/>
          <w:color w:val="auto"/>
          <w:lang w:val="en-US"/>
        </w:rPr>
        <w:t>Occupational Health and Safety Act (OSHA), 2007</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_Toc220710837 \h </w:instrText>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fldChar w:fldCharType="end"/>
      </w:r>
    </w:p>
    <w:p w14:paraId="51A1DB50">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"_Toc220710838" </w:instrText>
      </w:r>
      <w:r>
        <w:fldChar w:fldCharType="separate"/>
      </w:r>
      <w:r>
        <w:rPr>
          <w:rStyle w:val="16"/>
          <w:rFonts w:ascii="Times New Roman" w:hAnsi="Times New Roman"/>
          <w:b/>
          <w:color w:val="auto"/>
          <w:lang w:val="en-US"/>
        </w:rPr>
        <w:t>6.2.7</w:t>
      </w:r>
      <w:r>
        <w:rPr>
          <w:rFonts w:ascii="Times New Roman" w:hAnsi="Times New Roman" w:eastAsiaTheme="minorEastAsia"/>
          <w:kern w:val="2"/>
          <w:szCs w:val="24"/>
          <w:lang w:val="en-US" w:eastAsia="zh-CN"/>
        </w:rPr>
        <w:tab/>
      </w:r>
      <w:r>
        <w:rPr>
          <w:rStyle w:val="16"/>
          <w:rFonts w:ascii="Times New Roman" w:hAnsi="Times New Roman"/>
          <w:b/>
          <w:color w:val="auto"/>
          <w:lang w:val="en-US"/>
        </w:rPr>
        <w:t>HIV and AIDS Prevention and Control Act 2011</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_Toc220710838 \h </w:instrText>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fldChar w:fldCharType="end"/>
      </w:r>
    </w:p>
    <w:p w14:paraId="49678033">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"_Toc220710839" </w:instrText>
      </w:r>
      <w:r>
        <w:fldChar w:fldCharType="separate"/>
      </w:r>
      <w:r>
        <w:rPr>
          <w:rStyle w:val="16"/>
          <w:rFonts w:ascii="Times New Roman" w:hAnsi="Times New Roman"/>
          <w:b/>
          <w:color w:val="auto"/>
          <w:lang w:val="en-US"/>
        </w:rPr>
        <w:t>6.2.8</w:t>
      </w:r>
      <w:r>
        <w:rPr>
          <w:rFonts w:ascii="Times New Roman" w:hAnsi="Times New Roman" w:eastAsiaTheme="minorEastAsia"/>
          <w:kern w:val="2"/>
          <w:szCs w:val="24"/>
          <w:lang w:val="en-US" w:eastAsia="zh-CN"/>
        </w:rPr>
        <w:tab/>
      </w:r>
      <w:r>
        <w:rPr>
          <w:rStyle w:val="16"/>
          <w:rFonts w:ascii="Times New Roman" w:hAnsi="Times New Roman"/>
          <w:b/>
          <w:color w:val="auto"/>
          <w:lang w:val="en-US"/>
        </w:rPr>
        <w:t>Sexual Offences Act 2006</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_Toc220710839 \h </w:instrText>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fldChar w:fldCharType="end"/>
      </w:r>
    </w:p>
    <w:p w14:paraId="22AE1333">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"_Toc220710840" </w:instrText>
      </w:r>
      <w:r>
        <w:fldChar w:fldCharType="separate"/>
      </w:r>
      <w:r>
        <w:rPr>
          <w:rStyle w:val="16"/>
          <w:rFonts w:ascii="Times New Roman" w:hAnsi="Times New Roman"/>
          <w:b/>
          <w:color w:val="auto"/>
          <w:lang w:val="en-US"/>
        </w:rPr>
        <w:t>6.2.9</w:t>
      </w:r>
      <w:r>
        <w:rPr>
          <w:rFonts w:ascii="Times New Roman" w:hAnsi="Times New Roman" w:eastAsiaTheme="minorEastAsia"/>
          <w:kern w:val="2"/>
          <w:szCs w:val="24"/>
          <w:lang w:val="en-US" w:eastAsia="zh-CN"/>
        </w:rPr>
        <w:tab/>
      </w:r>
      <w:r>
        <w:rPr>
          <w:rStyle w:val="16"/>
          <w:rFonts w:ascii="Times New Roman" w:hAnsi="Times New Roman"/>
          <w:b/>
          <w:color w:val="auto"/>
          <w:lang w:val="en-US"/>
        </w:rPr>
        <w:t>Children's Rights Act 2022</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_Toc220710840 \h </w:instrText>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fldChar w:fldCharType="end"/>
      </w:r>
    </w:p>
    <w:p w14:paraId="0B2349DF">
      <w:pPr>
        <w:pStyle w:val="25"/>
        <w:tabs>
          <w:tab w:val="left" w:pos="1440"/>
          <w:tab w:val="right" w:leader="dot" w:pos="9016"/>
        </w:tabs>
        <w:rPr>
          <w:rFonts w:ascii="Times New Roman" w:hAnsi="Times New Roman" w:eastAsiaTheme="minorEastAsia"/>
          <w:kern w:val="2"/>
          <w:szCs w:val="24"/>
          <w:lang w:val="en-US" w:eastAsia="zh-CN"/>
        </w:rPr>
      </w:pPr>
      <w:r>
        <w:fldChar w:fldCharType="begin"/>
      </w:r>
      <w:r>
        <w:instrText xml:space="preserve"> HYPERLINK \l "_Toc220710841" </w:instrText>
      </w:r>
      <w:r>
        <w:fldChar w:fldCharType="separate"/>
      </w:r>
      <w:r>
        <w:rPr>
          <w:rStyle w:val="16"/>
          <w:rFonts w:ascii="Times New Roman" w:hAnsi="Times New Roman"/>
          <w:b/>
          <w:color w:val="auto"/>
          <w:lang w:val="en-US"/>
        </w:rPr>
        <w:t>6.2.10</w:t>
      </w:r>
      <w:r>
        <w:rPr>
          <w:rFonts w:ascii="Times New Roman" w:hAnsi="Times New Roman" w:eastAsiaTheme="minorEastAsia"/>
          <w:kern w:val="2"/>
          <w:szCs w:val="24"/>
          <w:lang w:val="en-US" w:eastAsia="zh-CN"/>
        </w:rPr>
        <w:tab/>
      </w:r>
      <w:r>
        <w:rPr>
          <w:rStyle w:val="16"/>
          <w:rFonts w:ascii="Times New Roman" w:hAnsi="Times New Roman"/>
          <w:b/>
          <w:color w:val="auto"/>
          <w:lang w:val="en-US"/>
        </w:rPr>
        <w:t>Labour Relations Act 2012</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_Toc220710841 \h </w:instrText>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fldChar w:fldCharType="end"/>
      </w:r>
    </w:p>
    <w:p w14:paraId="63D5A848">
      <w:pPr>
        <w:pStyle w:val="25"/>
        <w:tabs>
          <w:tab w:val="left" w:pos="1440"/>
          <w:tab w:val="right" w:leader="dot" w:pos="9016"/>
        </w:tabs>
        <w:rPr>
          <w:rFonts w:ascii="Times New Roman" w:hAnsi="Times New Roman" w:eastAsiaTheme="minorEastAsia"/>
          <w:kern w:val="2"/>
          <w:szCs w:val="24"/>
          <w:lang w:val="en-US" w:eastAsia="zh-CN"/>
        </w:rPr>
      </w:pPr>
      <w:r>
        <w:fldChar w:fldCharType="begin"/>
      </w:r>
      <w:r>
        <w:instrText xml:space="preserve"> HYPERLINK \l "_Toc220710842" </w:instrText>
      </w:r>
      <w:r>
        <w:fldChar w:fldCharType="separate"/>
      </w:r>
      <w:r>
        <w:rPr>
          <w:rStyle w:val="16"/>
          <w:rFonts w:ascii="Times New Roman" w:hAnsi="Times New Roman"/>
          <w:b/>
          <w:color w:val="auto"/>
          <w:lang w:val="en-US"/>
        </w:rPr>
        <w:t>6.2.11</w:t>
      </w:r>
      <w:r>
        <w:rPr>
          <w:rFonts w:ascii="Times New Roman" w:hAnsi="Times New Roman" w:eastAsiaTheme="minorEastAsia"/>
          <w:kern w:val="2"/>
          <w:szCs w:val="24"/>
          <w:lang w:val="en-US" w:eastAsia="zh-CN"/>
        </w:rPr>
        <w:tab/>
      </w:r>
      <w:r>
        <w:rPr>
          <w:rStyle w:val="16"/>
          <w:rFonts w:ascii="Times New Roman" w:hAnsi="Times New Roman"/>
          <w:b/>
          <w:color w:val="auto"/>
          <w:lang w:val="en-US"/>
        </w:rPr>
        <w:t>Traffic Act 2015</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_Toc220710842 \h </w:instrText>
      </w:r>
      <w:r>
        <w:rPr>
          <w:rFonts w:ascii="Times New Roman" w:hAnsi="Times New Roman"/>
        </w:rPr>
        <w:fldChar w:fldCharType="separate"/>
      </w:r>
      <w:r>
        <w:rPr>
          <w:rFonts w:ascii="Times New Roman" w:hAnsi="Times New Roman"/>
        </w:rPr>
        <w:t>58</w:t>
      </w:r>
      <w:r>
        <w:rPr>
          <w:rFonts w:ascii="Times New Roman" w:hAnsi="Times New Roman"/>
        </w:rPr>
        <w:fldChar w:fldCharType="end"/>
      </w:r>
      <w:r>
        <w:rPr>
          <w:rFonts w:ascii="Times New Roman" w:hAnsi="Times New Roman"/>
        </w:rPr>
        <w:fldChar w:fldCharType="end"/>
      </w:r>
    </w:p>
    <w:p w14:paraId="16A5BBCF">
      <w:pPr>
        <w:pStyle w:val="25"/>
        <w:tabs>
          <w:tab w:val="left" w:pos="1440"/>
          <w:tab w:val="right" w:leader="dot" w:pos="9016"/>
        </w:tabs>
        <w:rPr>
          <w:rFonts w:ascii="Times New Roman" w:hAnsi="Times New Roman" w:eastAsiaTheme="minorEastAsia"/>
          <w:kern w:val="2"/>
          <w:szCs w:val="24"/>
          <w:lang w:val="en-US" w:eastAsia="zh-CN"/>
        </w:rPr>
      </w:pPr>
      <w:r>
        <w:fldChar w:fldCharType="begin"/>
      </w:r>
      <w:r>
        <w:instrText xml:space="preserve"> HYPERLINK \l "_Toc220710843" </w:instrText>
      </w:r>
      <w:r>
        <w:fldChar w:fldCharType="separate"/>
      </w:r>
      <w:r>
        <w:rPr>
          <w:rStyle w:val="16"/>
          <w:rFonts w:ascii="Times New Roman" w:hAnsi="Times New Roman"/>
          <w:b/>
          <w:color w:val="auto"/>
          <w:lang w:val="en-US"/>
        </w:rPr>
        <w:t>6.2.12</w:t>
      </w:r>
      <w:r>
        <w:rPr>
          <w:rFonts w:ascii="Times New Roman" w:hAnsi="Times New Roman" w:eastAsiaTheme="minorEastAsia"/>
          <w:kern w:val="2"/>
          <w:szCs w:val="24"/>
          <w:lang w:val="en-US" w:eastAsia="zh-CN"/>
        </w:rPr>
        <w:tab/>
      </w:r>
      <w:r>
        <w:rPr>
          <w:rStyle w:val="16"/>
          <w:rFonts w:ascii="Times New Roman" w:hAnsi="Times New Roman"/>
          <w:b/>
          <w:color w:val="auto"/>
          <w:lang w:val="en-US"/>
        </w:rPr>
        <w:t>Public Health Act, Cap 242</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_Toc220710843 \h </w:instrText>
      </w:r>
      <w:r>
        <w:rPr>
          <w:rFonts w:ascii="Times New Roman" w:hAnsi="Times New Roman"/>
        </w:rPr>
        <w:fldChar w:fldCharType="separate"/>
      </w:r>
      <w:r>
        <w:rPr>
          <w:rFonts w:ascii="Times New Roman" w:hAnsi="Times New Roman"/>
        </w:rPr>
        <w:t>58</w:t>
      </w:r>
      <w:r>
        <w:rPr>
          <w:rFonts w:ascii="Times New Roman" w:hAnsi="Times New Roman"/>
        </w:rPr>
        <w:fldChar w:fldCharType="end"/>
      </w:r>
      <w:r>
        <w:rPr>
          <w:rFonts w:ascii="Times New Roman" w:hAnsi="Times New Roman"/>
        </w:rPr>
        <w:fldChar w:fldCharType="end"/>
      </w:r>
    </w:p>
    <w:p w14:paraId="6F22AC05">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"_Toc220710844" </w:instrText>
      </w:r>
      <w:r>
        <w:fldChar w:fldCharType="separate"/>
      </w:r>
      <w:r>
        <w:rPr>
          <w:rStyle w:val="16"/>
          <w:rFonts w:ascii="Times New Roman" w:hAnsi="Times New Roman"/>
          <w:b/>
          <w:color w:val="auto"/>
          <w:lang w:val="en-US"/>
        </w:rPr>
        <w:t>6.3</w:t>
      </w:r>
      <w:r>
        <w:rPr>
          <w:rFonts w:ascii="Times New Roman" w:hAnsi="Times New Roman" w:eastAsiaTheme="minorEastAsia"/>
          <w:kern w:val="2"/>
          <w:szCs w:val="24"/>
          <w:lang w:val="en-US" w:eastAsia="zh-CN"/>
        </w:rPr>
        <w:tab/>
      </w:r>
      <w:r>
        <w:rPr>
          <w:rStyle w:val="16"/>
          <w:rFonts w:ascii="Times New Roman" w:hAnsi="Times New Roman"/>
          <w:b/>
          <w:color w:val="auto"/>
          <w:lang w:val="en-US"/>
        </w:rPr>
        <w:t>The Environmental (Impact Assessment and Audit) Regulations, 2025</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_Toc220710844 \h </w:instrText>
      </w:r>
      <w:r>
        <w:rPr>
          <w:rFonts w:ascii="Times New Roman" w:hAnsi="Times New Roman"/>
        </w:rPr>
        <w:fldChar w:fldCharType="separate"/>
      </w:r>
      <w:r>
        <w:rPr>
          <w:rFonts w:ascii="Times New Roman" w:hAnsi="Times New Roman"/>
        </w:rPr>
        <w:t>58</w:t>
      </w:r>
      <w:r>
        <w:rPr>
          <w:rFonts w:ascii="Times New Roman" w:hAnsi="Times New Roman"/>
        </w:rPr>
        <w:fldChar w:fldCharType="end"/>
      </w:r>
      <w:r>
        <w:rPr>
          <w:rFonts w:ascii="Times New Roman" w:hAnsi="Times New Roman"/>
        </w:rPr>
        <w:fldChar w:fldCharType="end"/>
      </w:r>
    </w:p>
    <w:p w14:paraId="202E2205">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"_Toc220710845" </w:instrText>
      </w:r>
      <w:r>
        <w:fldChar w:fldCharType="separate"/>
      </w:r>
      <w:r>
        <w:rPr>
          <w:rStyle w:val="16"/>
          <w:rFonts w:ascii="Times New Roman" w:hAnsi="Times New Roman"/>
          <w:b/>
          <w:color w:val="auto"/>
          <w:lang w:val="en-US"/>
        </w:rPr>
        <w:t>6.4</w:t>
      </w:r>
      <w:r>
        <w:rPr>
          <w:rFonts w:ascii="Times New Roman" w:hAnsi="Times New Roman" w:eastAsiaTheme="minorEastAsia"/>
          <w:kern w:val="2"/>
          <w:szCs w:val="24"/>
          <w:lang w:val="en-US" w:eastAsia="zh-CN"/>
        </w:rPr>
        <w:tab/>
      </w:r>
      <w:r>
        <w:rPr>
          <w:rStyle w:val="16"/>
          <w:rFonts w:ascii="Times New Roman" w:hAnsi="Times New Roman"/>
          <w:b/>
          <w:color w:val="auto"/>
          <w:lang w:val="en-US"/>
        </w:rPr>
        <w:t>Environmental Management and Coordination (Water Quality) Regulations, 2024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_Toc220710845 \h </w:instrText>
      </w:r>
      <w:r>
        <w:rPr>
          <w:rFonts w:ascii="Times New Roman" w:hAnsi="Times New Roman"/>
        </w:rPr>
        <w:fldChar w:fldCharType="separate"/>
      </w:r>
      <w:r>
        <w:rPr>
          <w:rFonts w:ascii="Times New Roman" w:hAnsi="Times New Roman"/>
        </w:rPr>
        <w:t>59</w:t>
      </w:r>
      <w:r>
        <w:rPr>
          <w:rFonts w:ascii="Times New Roman" w:hAnsi="Times New Roman"/>
        </w:rPr>
        <w:fldChar w:fldCharType="end"/>
      </w:r>
      <w:r>
        <w:rPr>
          <w:rFonts w:ascii="Times New Roman" w:hAnsi="Times New Roman"/>
        </w:rPr>
        <w:fldChar w:fldCharType="end"/>
      </w:r>
    </w:p>
    <w:p w14:paraId="24DBEA5E">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"_Toc220710846" </w:instrText>
      </w:r>
      <w:r>
        <w:fldChar w:fldCharType="separate"/>
      </w:r>
      <w:r>
        <w:rPr>
          <w:rStyle w:val="16"/>
          <w:rFonts w:ascii="Times New Roman" w:hAnsi="Times New Roman"/>
          <w:b/>
          <w:color w:val="auto"/>
          <w:lang w:val="en-US"/>
        </w:rPr>
        <w:t>6.5</w:t>
      </w:r>
      <w:r>
        <w:rPr>
          <w:rFonts w:ascii="Times New Roman" w:hAnsi="Times New Roman" w:eastAsiaTheme="minorEastAsia"/>
          <w:kern w:val="2"/>
          <w:szCs w:val="24"/>
          <w:lang w:val="en-US" w:eastAsia="zh-CN"/>
        </w:rPr>
        <w:tab/>
      </w:r>
      <w:r>
        <w:rPr>
          <w:rStyle w:val="16"/>
          <w:rFonts w:ascii="Times New Roman" w:hAnsi="Times New Roman"/>
          <w:b/>
          <w:color w:val="auto"/>
        </w:rPr>
        <w:t>Environmental Management and Co-ordination (Waste Management) Regulations, 2024 (Legal Notice 178 of 2024)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_Toc220710846 \h </w:instrText>
      </w:r>
      <w:r>
        <w:rPr>
          <w:rFonts w:ascii="Times New Roman" w:hAnsi="Times New Roman"/>
        </w:rPr>
        <w:fldChar w:fldCharType="separate"/>
      </w:r>
      <w:r>
        <w:rPr>
          <w:rFonts w:ascii="Times New Roman" w:hAnsi="Times New Roman"/>
        </w:rPr>
        <w:t>59</w:t>
      </w:r>
      <w:r>
        <w:rPr>
          <w:rFonts w:ascii="Times New Roman" w:hAnsi="Times New Roman"/>
        </w:rPr>
        <w:fldChar w:fldCharType="end"/>
      </w:r>
      <w:r>
        <w:rPr>
          <w:rFonts w:ascii="Times New Roman" w:hAnsi="Times New Roman"/>
        </w:rPr>
        <w:fldChar w:fldCharType="end"/>
      </w:r>
    </w:p>
    <w:p w14:paraId="23BAD5BE">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"_Toc220710847" </w:instrText>
      </w:r>
      <w:r>
        <w:fldChar w:fldCharType="separate"/>
      </w:r>
      <w:r>
        <w:rPr>
          <w:rStyle w:val="16"/>
          <w:rFonts w:ascii="Times New Roman" w:hAnsi="Times New Roman"/>
          <w:color w:val="auto"/>
          <w:lang w:val="en-US"/>
        </w:rPr>
        <w:t>6.6</w:t>
      </w:r>
      <w:r>
        <w:rPr>
          <w:rFonts w:ascii="Times New Roman" w:hAnsi="Times New Roman" w:eastAsiaTheme="minorEastAsia"/>
          <w:kern w:val="2"/>
          <w:szCs w:val="24"/>
          <w:lang w:val="en-US" w:eastAsia="zh-CN"/>
        </w:rPr>
        <w:tab/>
      </w:r>
      <w:r>
        <w:rPr>
          <w:rStyle w:val="16"/>
          <w:rFonts w:ascii="Times New Roman" w:hAnsi="Times New Roman"/>
          <w:b/>
          <w:color w:val="auto"/>
          <w:lang w:val="en-US"/>
        </w:rPr>
        <w:t>Environmental Management and Coordination, Noise and Excessive Vibration Pollution (Control) Regulations, 2009</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_Toc220710847 \h </w:instrText>
      </w:r>
      <w:r>
        <w:rPr>
          <w:rFonts w:ascii="Times New Roman" w:hAnsi="Times New Roman"/>
        </w:rPr>
        <w:fldChar w:fldCharType="separate"/>
      </w:r>
      <w:r>
        <w:rPr>
          <w:rFonts w:ascii="Times New Roman" w:hAnsi="Times New Roman"/>
        </w:rPr>
        <w:t>59</w:t>
      </w:r>
      <w:r>
        <w:rPr>
          <w:rFonts w:ascii="Times New Roman" w:hAnsi="Times New Roman"/>
        </w:rPr>
        <w:fldChar w:fldCharType="end"/>
      </w:r>
      <w:r>
        <w:rPr>
          <w:rFonts w:ascii="Times New Roman" w:hAnsi="Times New Roman"/>
        </w:rPr>
        <w:fldChar w:fldCharType="end"/>
      </w:r>
    </w:p>
    <w:p w14:paraId="51A69956">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"_Toc220710848" </w:instrText>
      </w:r>
      <w:r>
        <w:fldChar w:fldCharType="separate"/>
      </w:r>
      <w:r>
        <w:rPr>
          <w:rStyle w:val="16"/>
          <w:rFonts w:ascii="Times New Roman" w:hAnsi="Times New Roman"/>
          <w:b/>
          <w:color w:val="auto"/>
          <w:lang w:val="en-US"/>
        </w:rPr>
        <w:t>6.7</w:t>
      </w:r>
      <w:r>
        <w:rPr>
          <w:rFonts w:ascii="Times New Roman" w:hAnsi="Times New Roman" w:eastAsiaTheme="minorEastAsia"/>
          <w:kern w:val="2"/>
          <w:szCs w:val="24"/>
          <w:lang w:val="en-US" w:eastAsia="zh-CN"/>
        </w:rPr>
        <w:tab/>
      </w:r>
      <w:r>
        <w:rPr>
          <w:rStyle w:val="16"/>
          <w:rFonts w:ascii="Times New Roman" w:hAnsi="Times New Roman"/>
          <w:b/>
          <w:color w:val="auto"/>
          <w:lang w:val="en-US"/>
        </w:rPr>
        <w:t>Environmental Management and Coordination (Air Quality Regulations 2024)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_Toc220710848 \h </w:instrText>
      </w:r>
      <w:r>
        <w:rPr>
          <w:rFonts w:ascii="Times New Roman" w:hAnsi="Times New Roman"/>
        </w:rPr>
        <w:fldChar w:fldCharType="separate"/>
      </w:r>
      <w:r>
        <w:rPr>
          <w:rFonts w:ascii="Times New Roman" w:hAnsi="Times New Roman"/>
        </w:rPr>
        <w:t>59</w:t>
      </w:r>
      <w:r>
        <w:rPr>
          <w:rFonts w:ascii="Times New Roman" w:hAnsi="Times New Roman"/>
        </w:rPr>
        <w:fldChar w:fldCharType="end"/>
      </w:r>
      <w:r>
        <w:rPr>
          <w:rFonts w:ascii="Times New Roman" w:hAnsi="Times New Roman"/>
        </w:rPr>
        <w:fldChar w:fldCharType="end"/>
      </w:r>
    </w:p>
    <w:p w14:paraId="7F5564BC">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"_Toc220710849" </w:instrText>
      </w:r>
      <w:r>
        <w:fldChar w:fldCharType="separate"/>
      </w:r>
      <w:r>
        <w:rPr>
          <w:rStyle w:val="16"/>
          <w:rFonts w:ascii="Times New Roman" w:hAnsi="Times New Roman"/>
          <w:color w:val="auto"/>
          <w:lang w:val="en-US"/>
        </w:rPr>
        <w:t>6.8</w:t>
      </w:r>
      <w:r>
        <w:rPr>
          <w:rFonts w:ascii="Times New Roman" w:hAnsi="Times New Roman" w:eastAsiaTheme="minorEastAsia"/>
          <w:kern w:val="2"/>
          <w:szCs w:val="24"/>
          <w:lang w:val="en-US" w:eastAsia="zh-CN"/>
        </w:rPr>
        <w:tab/>
      </w:r>
      <w:r>
        <w:rPr>
          <w:rStyle w:val="16"/>
          <w:rFonts w:ascii="Times New Roman" w:hAnsi="Times New Roman"/>
          <w:b/>
          <w:color w:val="auto"/>
          <w:lang w:val="en-US"/>
        </w:rPr>
        <w:t>Fire Risk Reduction Rules, 2007</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_Toc220710849 \h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rPr>
        <w:fldChar w:fldCharType="end"/>
      </w:r>
    </w:p>
    <w:p w14:paraId="0A06811A">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"_Toc220710850" </w:instrText>
      </w:r>
      <w:r>
        <w:fldChar w:fldCharType="separate"/>
      </w:r>
      <w:r>
        <w:rPr>
          <w:rStyle w:val="16"/>
          <w:rFonts w:ascii="Times New Roman" w:hAnsi="Times New Roman"/>
          <w:b/>
          <w:color w:val="auto"/>
          <w:lang w:val="en-US"/>
        </w:rPr>
        <w:t>6.9</w:t>
      </w:r>
      <w:r>
        <w:rPr>
          <w:rFonts w:ascii="Times New Roman" w:hAnsi="Times New Roman" w:eastAsiaTheme="minorEastAsia"/>
          <w:kern w:val="2"/>
          <w:szCs w:val="24"/>
          <w:lang w:val="en-US" w:eastAsia="zh-CN"/>
        </w:rPr>
        <w:tab/>
      </w:r>
      <w:r>
        <w:rPr>
          <w:rStyle w:val="16"/>
          <w:rFonts w:ascii="Times New Roman" w:hAnsi="Times New Roman"/>
          <w:b/>
          <w:color w:val="auto"/>
          <w:lang w:val="en-US"/>
        </w:rPr>
        <w:t>Safety and Health Committee Rules of 2004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_Toc220710850 \h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rPr>
        <w:fldChar w:fldCharType="end"/>
      </w:r>
    </w:p>
    <w:p w14:paraId="36937F37">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"_Toc220710851" </w:instrText>
      </w:r>
      <w:r>
        <w:fldChar w:fldCharType="separate"/>
      </w:r>
      <w:r>
        <w:rPr>
          <w:rStyle w:val="16"/>
          <w:rFonts w:ascii="Times New Roman" w:hAnsi="Times New Roman"/>
          <w:b/>
          <w:color w:val="auto"/>
          <w:lang w:val="en-US"/>
        </w:rPr>
        <w:t>6.10</w:t>
      </w:r>
      <w:r>
        <w:rPr>
          <w:rFonts w:ascii="Times New Roman" w:hAnsi="Times New Roman" w:eastAsiaTheme="minorEastAsia"/>
          <w:kern w:val="2"/>
          <w:szCs w:val="24"/>
          <w:lang w:val="en-US" w:eastAsia="zh-CN"/>
        </w:rPr>
        <w:tab/>
      </w:r>
      <w:r>
        <w:rPr>
          <w:rStyle w:val="16"/>
          <w:rFonts w:ascii="Times New Roman" w:hAnsi="Times New Roman"/>
          <w:b/>
          <w:color w:val="auto"/>
          <w:lang w:val="en-US"/>
        </w:rPr>
        <w:t>First Aid in the Workplace Regulations, 2024, Legal Notice 79 of 2024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_Toc220710851 \h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rPr>
        <w:fldChar w:fldCharType="end"/>
      </w:r>
    </w:p>
    <w:p w14:paraId="5384205E">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"_Toc220710852" </w:instrText>
      </w:r>
      <w:r>
        <w:fldChar w:fldCharType="separate"/>
      </w:r>
      <w:r>
        <w:rPr>
          <w:rStyle w:val="16"/>
          <w:rFonts w:ascii="Times New Roman" w:hAnsi="Times New Roman"/>
          <w:b/>
          <w:color w:val="auto"/>
          <w:lang w:val="en-US"/>
        </w:rPr>
        <w:t>6.11</w:t>
      </w:r>
      <w:r>
        <w:rPr>
          <w:rFonts w:ascii="Times New Roman" w:hAnsi="Times New Roman" w:eastAsiaTheme="minorEastAsia"/>
          <w:kern w:val="2"/>
          <w:szCs w:val="24"/>
          <w:lang w:val="en-US" w:eastAsia="zh-CN"/>
        </w:rPr>
        <w:tab/>
      </w:r>
      <w:r>
        <w:rPr>
          <w:rStyle w:val="16"/>
          <w:rFonts w:ascii="Times New Roman" w:hAnsi="Times New Roman"/>
          <w:b/>
          <w:color w:val="auto"/>
          <w:lang w:val="en-US"/>
        </w:rPr>
        <w:t>OP 4.01: Environmental Assessment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_Toc220710852 \h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rPr>
        <w:fldChar w:fldCharType="end"/>
      </w:r>
    </w:p>
    <w:p w14:paraId="0EDAA99E">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"_Toc220710853" </w:instrText>
      </w:r>
      <w:r>
        <w:fldChar w:fldCharType="separate"/>
      </w:r>
      <w:r>
        <w:rPr>
          <w:rStyle w:val="16"/>
          <w:rFonts w:ascii="Times New Roman" w:hAnsi="Times New Roman"/>
          <w:b/>
          <w:color w:val="auto"/>
          <w:lang w:val="en-US"/>
        </w:rPr>
        <w:t>6.12</w:t>
      </w:r>
      <w:r>
        <w:rPr>
          <w:rFonts w:ascii="Times New Roman" w:hAnsi="Times New Roman" w:eastAsiaTheme="minorEastAsia"/>
          <w:kern w:val="2"/>
          <w:szCs w:val="24"/>
          <w:lang w:val="en-US" w:eastAsia="zh-CN"/>
        </w:rPr>
        <w:tab/>
      </w:r>
      <w:r>
        <w:rPr>
          <w:rStyle w:val="16"/>
          <w:rFonts w:ascii="Times New Roman" w:hAnsi="Times New Roman"/>
          <w:b/>
          <w:color w:val="auto"/>
          <w:lang w:val="en-US"/>
        </w:rPr>
        <w:t>OP 4.11: Physical Cultural Resources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_Toc220710853 \h </w:instrText>
      </w:r>
      <w:r>
        <w:rPr>
          <w:rFonts w:ascii="Times New Roman" w:hAnsi="Times New Roman"/>
        </w:rPr>
        <w:fldChar w:fldCharType="separate"/>
      </w:r>
      <w:r>
        <w:rPr>
          <w:rFonts w:ascii="Times New Roman" w:hAnsi="Times New Roman"/>
        </w:rPr>
        <w:t>61</w:t>
      </w:r>
      <w:r>
        <w:rPr>
          <w:rFonts w:ascii="Times New Roman" w:hAnsi="Times New Roman"/>
        </w:rPr>
        <w:fldChar w:fldCharType="end"/>
      </w:r>
      <w:r>
        <w:rPr>
          <w:rFonts w:ascii="Times New Roman" w:hAnsi="Times New Roman"/>
        </w:rPr>
        <w:fldChar w:fldCharType="end"/>
      </w:r>
    </w:p>
    <w:p w14:paraId="75A9C259">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"_Toc220710854" </w:instrText>
      </w:r>
      <w:r>
        <w:fldChar w:fldCharType="separate"/>
      </w:r>
      <w:r>
        <w:rPr>
          <w:rStyle w:val="16"/>
          <w:rFonts w:ascii="Times New Roman" w:hAnsi="Times New Roman"/>
          <w:b/>
          <w:color w:val="auto"/>
          <w:lang w:val="en-US"/>
        </w:rPr>
        <w:t>6.13</w:t>
      </w:r>
      <w:r>
        <w:rPr>
          <w:rFonts w:ascii="Times New Roman" w:hAnsi="Times New Roman" w:eastAsiaTheme="minorEastAsia"/>
          <w:kern w:val="2"/>
          <w:szCs w:val="24"/>
          <w:lang w:val="en-US" w:eastAsia="zh-CN"/>
        </w:rPr>
        <w:tab/>
      </w:r>
      <w:r>
        <w:rPr>
          <w:rStyle w:val="16"/>
          <w:rFonts w:ascii="Times New Roman" w:hAnsi="Times New Roman"/>
          <w:b/>
          <w:color w:val="auto"/>
          <w:lang w:val="en-US"/>
        </w:rPr>
        <w:t>WB EHS General Guidelines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_Toc220710854 \h </w:instrText>
      </w:r>
      <w:r>
        <w:rPr>
          <w:rFonts w:ascii="Times New Roman" w:hAnsi="Times New Roman"/>
        </w:rPr>
        <w:fldChar w:fldCharType="separate"/>
      </w:r>
      <w:r>
        <w:rPr>
          <w:rFonts w:ascii="Times New Roman" w:hAnsi="Times New Roman"/>
        </w:rPr>
        <w:t>61</w:t>
      </w:r>
      <w:r>
        <w:rPr>
          <w:rFonts w:ascii="Times New Roman" w:hAnsi="Times New Roman"/>
        </w:rPr>
        <w:fldChar w:fldCharType="end"/>
      </w:r>
      <w:r>
        <w:rPr>
          <w:rFonts w:ascii="Times New Roman" w:hAnsi="Times New Roman"/>
        </w:rPr>
        <w:fldChar w:fldCharType="end"/>
      </w:r>
    </w:p>
    <w:p w14:paraId="0C91DA21">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"_Toc220710855" </w:instrText>
      </w:r>
      <w:r>
        <w:fldChar w:fldCharType="separate"/>
      </w:r>
      <w:r>
        <w:rPr>
          <w:rStyle w:val="16"/>
          <w:rFonts w:ascii="Times New Roman" w:hAnsi="Times New Roman"/>
          <w:b/>
          <w:color w:val="auto"/>
          <w:lang w:val="en-US"/>
        </w:rPr>
        <w:t>6.14</w:t>
      </w:r>
      <w:r>
        <w:rPr>
          <w:rFonts w:ascii="Times New Roman" w:hAnsi="Times New Roman" w:eastAsiaTheme="minorEastAsia"/>
          <w:kern w:val="2"/>
          <w:szCs w:val="24"/>
          <w:lang w:val="en-US" w:eastAsia="zh-CN"/>
        </w:rPr>
        <w:tab/>
      </w:r>
      <w:r>
        <w:rPr>
          <w:rStyle w:val="16"/>
          <w:rFonts w:ascii="Times New Roman" w:hAnsi="Times New Roman"/>
          <w:b/>
          <w:color w:val="auto"/>
          <w:lang w:val="en-US"/>
        </w:rPr>
        <w:t>WB EHS Guidelines for Water and Sanitation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_Toc220710855 \h </w:instrText>
      </w:r>
      <w:r>
        <w:rPr>
          <w:rFonts w:ascii="Times New Roman" w:hAnsi="Times New Roman"/>
        </w:rPr>
        <w:fldChar w:fldCharType="separate"/>
      </w:r>
      <w:r>
        <w:rPr>
          <w:rFonts w:ascii="Times New Roman" w:hAnsi="Times New Roman"/>
        </w:rPr>
        <w:t>61</w:t>
      </w:r>
      <w:r>
        <w:rPr>
          <w:rFonts w:ascii="Times New Roman" w:hAnsi="Times New Roman"/>
        </w:rPr>
        <w:fldChar w:fldCharType="end"/>
      </w:r>
      <w:r>
        <w:rPr>
          <w:rFonts w:ascii="Times New Roman" w:hAnsi="Times New Roman"/>
        </w:rPr>
        <w:fldChar w:fldCharType="end"/>
      </w:r>
    </w:p>
    <w:p w14:paraId="5269D8F6">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"_Toc220710856" </w:instrText>
      </w:r>
      <w:r>
        <w:fldChar w:fldCharType="separate"/>
      </w:r>
      <w:r>
        <w:rPr>
          <w:rStyle w:val="16"/>
          <w:rFonts w:ascii="Times New Roman" w:hAnsi="Times New Roman"/>
          <w:b/>
          <w:color w:val="auto"/>
          <w:lang w:val="en-US"/>
        </w:rPr>
        <w:t>6.15</w:t>
      </w:r>
      <w:r>
        <w:rPr>
          <w:rFonts w:ascii="Times New Roman" w:hAnsi="Times New Roman" w:eastAsiaTheme="minorEastAsia"/>
          <w:kern w:val="2"/>
          <w:szCs w:val="24"/>
          <w:lang w:val="en-US" w:eastAsia="zh-CN"/>
        </w:rPr>
        <w:tab/>
      </w:r>
      <w:r>
        <w:rPr>
          <w:rStyle w:val="16"/>
          <w:rFonts w:ascii="Times New Roman" w:hAnsi="Times New Roman"/>
          <w:b/>
          <w:color w:val="auto"/>
          <w:lang w:val="en-US"/>
        </w:rPr>
        <w:t>WB EHS Guidelines for Materials Extraction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_Toc220710856 \h </w:instrText>
      </w:r>
      <w:r>
        <w:rPr>
          <w:rFonts w:ascii="Times New Roman" w:hAnsi="Times New Roman"/>
        </w:rPr>
        <w:fldChar w:fldCharType="separate"/>
      </w:r>
      <w:r>
        <w:rPr>
          <w:rFonts w:ascii="Times New Roman" w:hAnsi="Times New Roman"/>
        </w:rPr>
        <w:t>61</w:t>
      </w:r>
      <w:r>
        <w:rPr>
          <w:rFonts w:ascii="Times New Roman" w:hAnsi="Times New Roman"/>
        </w:rPr>
        <w:fldChar w:fldCharType="end"/>
      </w:r>
      <w:r>
        <w:rPr>
          <w:rFonts w:ascii="Times New Roman" w:hAnsi="Times New Roman"/>
        </w:rPr>
        <w:fldChar w:fldCharType="end"/>
      </w:r>
    </w:p>
    <w:p w14:paraId="41B53F51">
      <w:pPr>
        <w:pStyle w:val="23"/>
        <w:tabs>
          <w:tab w:val="left" w:pos="440"/>
          <w:tab w:val="right" w:leader="dot" w:pos="9016"/>
        </w:tabs>
        <w:rPr>
          <w:rFonts w:ascii="Times New Roman" w:hAnsi="Times New Roman" w:eastAsiaTheme="minorEastAsia"/>
          <w:kern w:val="2"/>
          <w:szCs w:val="24"/>
          <w:lang w:val="en-US" w:eastAsia="zh-CN"/>
        </w:rPr>
      </w:pPr>
      <w:r>
        <w:fldChar w:fldCharType="begin"/>
      </w:r>
      <w:r>
        <w:instrText xml:space="preserve"> HYPERLINK \l "_Toc220710857" </w:instrText>
      </w:r>
      <w:r>
        <w:fldChar w:fldCharType="separate"/>
      </w:r>
      <w:r>
        <w:rPr>
          <w:rStyle w:val="16"/>
          <w:rFonts w:ascii="Times New Roman" w:hAnsi="Times New Roman"/>
          <w:color w:val="auto"/>
        </w:rPr>
        <w:t>7</w:t>
      </w:r>
      <w:r>
        <w:rPr>
          <w:rFonts w:ascii="Times New Roman" w:hAnsi="Times New Roman" w:eastAsiaTheme="minorEastAsia"/>
          <w:kern w:val="2"/>
          <w:szCs w:val="24"/>
          <w:lang w:val="en-US" w:eastAsia="zh-CN"/>
        </w:rPr>
        <w:tab/>
      </w:r>
      <w:r>
        <w:rPr>
          <w:rStyle w:val="16"/>
          <w:rFonts w:ascii="Times New Roman" w:hAnsi="Times New Roman"/>
          <w:color w:val="auto"/>
        </w:rPr>
        <w:t>ENVIRONMENT AND SOCIAL IMPACTS OF THE PROPOSED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_Toc220710857 \h </w:instrText>
      </w:r>
      <w:r>
        <w:rPr>
          <w:rFonts w:ascii="Times New Roman" w:hAnsi="Times New Roman"/>
        </w:rPr>
        <w:fldChar w:fldCharType="separate"/>
      </w:r>
      <w:r>
        <w:rPr>
          <w:rFonts w:ascii="Times New Roman" w:hAnsi="Times New Roman"/>
        </w:rPr>
        <w:t>62</w:t>
      </w:r>
      <w:r>
        <w:rPr>
          <w:rFonts w:ascii="Times New Roman" w:hAnsi="Times New Roman"/>
        </w:rPr>
        <w:fldChar w:fldCharType="end"/>
      </w:r>
      <w:r>
        <w:rPr>
          <w:rFonts w:ascii="Times New Roman" w:hAnsi="Times New Roman"/>
        </w:rPr>
        <w:fldChar w:fldCharType="end"/>
      </w:r>
    </w:p>
    <w:p w14:paraId="614ADA1E">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"_Toc220710858" </w:instrText>
      </w:r>
      <w:r>
        <w:fldChar w:fldCharType="separate"/>
      </w:r>
      <w:r>
        <w:rPr>
          <w:rStyle w:val="16"/>
          <w:rFonts w:ascii="Times New Roman" w:hAnsi="Times New Roman"/>
          <w:color w:val="auto"/>
        </w:rPr>
        <w:t>7.1</w:t>
      </w:r>
      <w:r>
        <w:rPr>
          <w:rFonts w:ascii="Times New Roman" w:hAnsi="Times New Roman" w:eastAsiaTheme="minorEastAsia"/>
          <w:kern w:val="2"/>
          <w:szCs w:val="24"/>
          <w:lang w:val="en-US" w:eastAsia="zh-CN"/>
        </w:rPr>
        <w:tab/>
      </w:r>
      <w:r>
        <w:rPr>
          <w:rStyle w:val="16"/>
          <w:rFonts w:ascii="Times New Roman" w:hAnsi="Times New Roman"/>
          <w:color w:val="auto"/>
        </w:rPr>
        <w:t>Impact Identification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_Toc220710858 \h </w:instrText>
      </w:r>
      <w:r>
        <w:rPr>
          <w:rFonts w:ascii="Times New Roman" w:hAnsi="Times New Roman"/>
        </w:rPr>
        <w:fldChar w:fldCharType="separate"/>
      </w:r>
      <w:r>
        <w:rPr>
          <w:rFonts w:ascii="Times New Roman" w:hAnsi="Times New Roman"/>
        </w:rPr>
        <w:t>62</w:t>
      </w:r>
      <w:r>
        <w:rPr>
          <w:rFonts w:ascii="Times New Roman" w:hAnsi="Times New Roman"/>
        </w:rPr>
        <w:fldChar w:fldCharType="end"/>
      </w:r>
      <w:r>
        <w:rPr>
          <w:rFonts w:ascii="Times New Roman" w:hAnsi="Times New Roman"/>
        </w:rPr>
        <w:fldChar w:fldCharType="end"/>
      </w:r>
    </w:p>
    <w:p w14:paraId="0F9EACFC">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"_Toc220710859" </w:instrText>
      </w:r>
      <w:r>
        <w:fldChar w:fldCharType="separate"/>
      </w:r>
      <w:r>
        <w:rPr>
          <w:rStyle w:val="16"/>
          <w:rFonts w:ascii="Times New Roman" w:hAnsi="Times New Roman"/>
          <w:color w:val="auto"/>
        </w:rPr>
        <w:t>7.2</w:t>
      </w:r>
      <w:r>
        <w:rPr>
          <w:rFonts w:ascii="Times New Roman" w:hAnsi="Times New Roman" w:eastAsiaTheme="minorEastAsia"/>
          <w:kern w:val="2"/>
          <w:szCs w:val="24"/>
          <w:lang w:val="en-US" w:eastAsia="zh-CN"/>
        </w:rPr>
        <w:tab/>
      </w:r>
      <w:r>
        <w:rPr>
          <w:rStyle w:val="16"/>
          <w:rFonts w:ascii="Times New Roman" w:hAnsi="Times New Roman"/>
          <w:color w:val="auto"/>
        </w:rPr>
        <w:t>Impact Prediction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_Toc220710859 \h </w:instrText>
      </w:r>
      <w:r>
        <w:rPr>
          <w:rFonts w:ascii="Times New Roman" w:hAnsi="Times New Roman"/>
        </w:rPr>
        <w:fldChar w:fldCharType="separate"/>
      </w:r>
      <w:r>
        <w:rPr>
          <w:rFonts w:ascii="Times New Roman" w:hAnsi="Times New Roman"/>
        </w:rPr>
        <w:t>62</w:t>
      </w:r>
      <w:r>
        <w:rPr>
          <w:rFonts w:ascii="Times New Roman" w:hAnsi="Times New Roman"/>
        </w:rPr>
        <w:fldChar w:fldCharType="end"/>
      </w:r>
      <w:r>
        <w:rPr>
          <w:rFonts w:ascii="Times New Roman" w:hAnsi="Times New Roman"/>
        </w:rPr>
        <w:fldChar w:fldCharType="end"/>
      </w:r>
    </w:p>
    <w:p w14:paraId="555EEB3B">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"_Toc220710860" </w:instrText>
      </w:r>
      <w:r>
        <w:fldChar w:fldCharType="separate"/>
      </w:r>
      <w:r>
        <w:rPr>
          <w:rStyle w:val="16"/>
          <w:rFonts w:ascii="Times New Roman" w:hAnsi="Times New Roman"/>
          <w:color w:val="auto"/>
        </w:rPr>
        <w:t>7.3</w:t>
      </w:r>
      <w:r>
        <w:rPr>
          <w:rFonts w:ascii="Times New Roman" w:hAnsi="Times New Roman" w:eastAsiaTheme="minorEastAsia"/>
          <w:kern w:val="2"/>
          <w:szCs w:val="24"/>
          <w:lang w:val="en-US" w:eastAsia="zh-CN"/>
        </w:rPr>
        <w:tab/>
      </w:r>
      <w:r>
        <w:rPr>
          <w:rStyle w:val="16"/>
          <w:rFonts w:ascii="Times New Roman" w:hAnsi="Times New Roman"/>
          <w:color w:val="auto"/>
        </w:rPr>
        <w:t>Mitigation of Impacts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_Toc220710860 \h </w:instrText>
      </w:r>
      <w:r>
        <w:rPr>
          <w:rFonts w:ascii="Times New Roman" w:hAnsi="Times New Roman"/>
        </w:rPr>
        <w:fldChar w:fldCharType="separate"/>
      </w:r>
      <w:r>
        <w:rPr>
          <w:rFonts w:ascii="Times New Roman" w:hAnsi="Times New Roman"/>
        </w:rPr>
        <w:t>63</w:t>
      </w:r>
      <w:r>
        <w:rPr>
          <w:rFonts w:ascii="Times New Roman" w:hAnsi="Times New Roman"/>
        </w:rPr>
        <w:fldChar w:fldCharType="end"/>
      </w:r>
      <w:r>
        <w:rPr>
          <w:rFonts w:ascii="Times New Roman" w:hAnsi="Times New Roman"/>
        </w:rPr>
        <w:fldChar w:fldCharType="end"/>
      </w:r>
    </w:p>
    <w:p w14:paraId="35730C4D">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"_Toc220710861" </w:instrText>
      </w:r>
      <w:r>
        <w:fldChar w:fldCharType="separate"/>
      </w:r>
      <w:r>
        <w:rPr>
          <w:rStyle w:val="16"/>
          <w:rFonts w:ascii="Times New Roman" w:hAnsi="Times New Roman"/>
          <w:color w:val="auto"/>
        </w:rPr>
        <w:t>7.4</w:t>
      </w:r>
      <w:r>
        <w:rPr>
          <w:rFonts w:ascii="Times New Roman" w:hAnsi="Times New Roman" w:eastAsiaTheme="minorEastAsia"/>
          <w:kern w:val="2"/>
          <w:szCs w:val="24"/>
          <w:lang w:val="en-US" w:eastAsia="zh-CN"/>
        </w:rPr>
        <w:tab/>
      </w:r>
      <w:r>
        <w:rPr>
          <w:rStyle w:val="16"/>
          <w:rFonts w:ascii="Times New Roman" w:hAnsi="Times New Roman"/>
          <w:color w:val="auto"/>
        </w:rPr>
        <w:t>Impact Categories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_Toc220710861 \h </w:instrText>
      </w:r>
      <w:r>
        <w:rPr>
          <w:rFonts w:ascii="Times New Roman" w:hAnsi="Times New Roman"/>
        </w:rPr>
        <w:fldChar w:fldCharType="separate"/>
      </w:r>
      <w:r>
        <w:rPr>
          <w:rFonts w:ascii="Times New Roman" w:hAnsi="Times New Roman"/>
        </w:rPr>
        <w:t>63</w:t>
      </w:r>
      <w:r>
        <w:rPr>
          <w:rFonts w:ascii="Times New Roman" w:hAnsi="Times New Roman"/>
        </w:rPr>
        <w:fldChar w:fldCharType="end"/>
      </w:r>
      <w:r>
        <w:rPr>
          <w:rFonts w:ascii="Times New Roman" w:hAnsi="Times New Roman"/>
        </w:rPr>
        <w:fldChar w:fldCharType="end"/>
      </w:r>
    </w:p>
    <w:p w14:paraId="19ABC5F5">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"_Toc220710862" </w:instrText>
      </w:r>
      <w:r>
        <w:fldChar w:fldCharType="separate"/>
      </w:r>
      <w:r>
        <w:rPr>
          <w:rStyle w:val="16"/>
          <w:rFonts w:ascii="Times New Roman" w:hAnsi="Times New Roman"/>
          <w:color w:val="auto"/>
        </w:rPr>
        <w:t>7.5</w:t>
      </w:r>
      <w:r>
        <w:rPr>
          <w:rFonts w:ascii="Times New Roman" w:hAnsi="Times New Roman" w:eastAsiaTheme="minorEastAsia"/>
          <w:kern w:val="2"/>
          <w:szCs w:val="24"/>
          <w:lang w:val="en-US" w:eastAsia="zh-CN"/>
        </w:rPr>
        <w:tab/>
      </w:r>
      <w:r>
        <w:rPr>
          <w:rStyle w:val="16"/>
          <w:rFonts w:ascii="Times New Roman" w:hAnsi="Times New Roman"/>
          <w:color w:val="auto"/>
        </w:rPr>
        <w:t>Impacts Emanating from the Proposed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_Toc220710862 \h </w:instrText>
      </w:r>
      <w:r>
        <w:rPr>
          <w:rFonts w:ascii="Times New Roman" w:hAnsi="Times New Roman"/>
        </w:rPr>
        <w:fldChar w:fldCharType="separate"/>
      </w:r>
      <w:r>
        <w:rPr>
          <w:rFonts w:ascii="Times New Roman" w:hAnsi="Times New Roman"/>
        </w:rPr>
        <w:t>69</w:t>
      </w:r>
      <w:r>
        <w:rPr>
          <w:rFonts w:ascii="Times New Roman" w:hAnsi="Times New Roman"/>
        </w:rPr>
        <w:fldChar w:fldCharType="end"/>
      </w:r>
      <w:r>
        <w:rPr>
          <w:rFonts w:ascii="Times New Roman" w:hAnsi="Times New Roman"/>
        </w:rPr>
        <w:fldChar w:fldCharType="end"/>
      </w:r>
    </w:p>
    <w:p w14:paraId="6DD615A1">
      <w:pPr>
        <w:pStyle w:val="24"/>
        <w:tabs>
          <w:tab w:val="left" w:pos="720"/>
          <w:tab w:val="right" w:leader="dot" w:pos="9016"/>
        </w:tabs>
        <w:rPr>
          <w:rFonts w:ascii="Times New Roman" w:hAnsi="Times New Roman" w:eastAsiaTheme="minorEastAsia"/>
          <w:kern w:val="2"/>
          <w:szCs w:val="24"/>
          <w:lang w:val="en-US" w:eastAsia="zh-CN"/>
        </w:rPr>
      </w:pPr>
      <w:r>
        <w:fldChar w:fldCharType="begin"/>
      </w:r>
      <w:r>
        <w:instrText xml:space="preserve"> HYPERLINK \l "_Toc220710863" </w:instrText>
      </w:r>
      <w:r>
        <w:fldChar w:fldCharType="separate"/>
      </w:r>
      <w:r>
        <w:rPr>
          <w:rStyle w:val="16"/>
          <w:rFonts w:ascii="Times New Roman" w:hAnsi="Times New Roman"/>
          <w:color w:val="auto"/>
        </w:rPr>
        <w:t>8</w:t>
      </w:r>
      <w:r>
        <w:rPr>
          <w:rFonts w:ascii="Times New Roman" w:hAnsi="Times New Roman" w:eastAsiaTheme="minorEastAsia"/>
          <w:kern w:val="2"/>
          <w:szCs w:val="24"/>
          <w:lang w:val="en-US" w:eastAsia="zh-CN"/>
        </w:rPr>
        <w:tab/>
      </w:r>
      <w:r>
        <w:rPr>
          <w:rStyle w:val="16"/>
          <w:rFonts w:ascii="Times New Roman" w:hAnsi="Times New Roman"/>
          <w:color w:val="auto"/>
        </w:rPr>
        <w:t>ENVIRONMENTAL AND SOCIAL MANAGEMENT PLAN (ESMP)</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_Toc220710863 \h </w:instrText>
      </w:r>
      <w:r>
        <w:rPr>
          <w:rFonts w:ascii="Times New Roman" w:hAnsi="Times New Roman"/>
        </w:rPr>
        <w:fldChar w:fldCharType="separate"/>
      </w:r>
      <w:r>
        <w:rPr>
          <w:rFonts w:ascii="Times New Roman" w:hAnsi="Times New Roman"/>
        </w:rPr>
        <w:t>83</w:t>
      </w:r>
      <w:r>
        <w:rPr>
          <w:rFonts w:ascii="Times New Roman" w:hAnsi="Times New Roman"/>
        </w:rPr>
        <w:fldChar w:fldCharType="end"/>
      </w:r>
      <w:r>
        <w:rPr>
          <w:rFonts w:ascii="Times New Roman" w:hAnsi="Times New Roman"/>
        </w:rPr>
        <w:fldChar w:fldCharType="end"/>
      </w:r>
    </w:p>
    <w:p w14:paraId="4908A238">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"_Toc220710864" </w:instrText>
      </w:r>
      <w:r>
        <w:fldChar w:fldCharType="separate"/>
      </w:r>
      <w:r>
        <w:rPr>
          <w:rStyle w:val="16"/>
          <w:rFonts w:ascii="Times New Roman" w:hAnsi="Times New Roman"/>
          <w:color w:val="auto"/>
        </w:rPr>
        <w:t>8.1</w:t>
      </w:r>
      <w:r>
        <w:rPr>
          <w:rFonts w:ascii="Times New Roman" w:hAnsi="Times New Roman" w:eastAsiaTheme="minorEastAsia"/>
          <w:kern w:val="2"/>
          <w:szCs w:val="24"/>
          <w:lang w:val="en-US" w:eastAsia="zh-CN"/>
        </w:rPr>
        <w:tab/>
      </w:r>
      <w:r>
        <w:rPr>
          <w:rStyle w:val="16"/>
          <w:rFonts w:ascii="Times New Roman" w:hAnsi="Times New Roman"/>
          <w:color w:val="auto"/>
        </w:rPr>
        <w:t>Significance of ESMP</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_Toc220710864 \h </w:instrText>
      </w:r>
      <w:r>
        <w:rPr>
          <w:rFonts w:ascii="Times New Roman" w:hAnsi="Times New Roman"/>
        </w:rPr>
        <w:fldChar w:fldCharType="separate"/>
      </w:r>
      <w:r>
        <w:rPr>
          <w:rFonts w:ascii="Times New Roman" w:hAnsi="Times New Roman"/>
        </w:rPr>
        <w:t>83</w:t>
      </w:r>
      <w:r>
        <w:rPr>
          <w:rFonts w:ascii="Times New Roman" w:hAnsi="Times New Roman"/>
        </w:rPr>
        <w:fldChar w:fldCharType="end"/>
      </w:r>
      <w:r>
        <w:rPr>
          <w:rFonts w:ascii="Times New Roman" w:hAnsi="Times New Roman"/>
        </w:rPr>
        <w:fldChar w:fldCharType="end"/>
      </w:r>
    </w:p>
    <w:p w14:paraId="6B442B5D">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"_Toc220710865" </w:instrText>
      </w:r>
      <w:r>
        <w:fldChar w:fldCharType="separate"/>
      </w:r>
      <w:r>
        <w:rPr>
          <w:rStyle w:val="16"/>
          <w:rFonts w:ascii="Times New Roman" w:hAnsi="Times New Roman"/>
          <w:color w:val="auto"/>
        </w:rPr>
        <w:t>8.2</w:t>
      </w:r>
      <w:r>
        <w:rPr>
          <w:rFonts w:ascii="Times New Roman" w:hAnsi="Times New Roman" w:eastAsiaTheme="minorEastAsia"/>
          <w:kern w:val="2"/>
          <w:szCs w:val="24"/>
          <w:lang w:val="en-US" w:eastAsia="zh-CN"/>
        </w:rPr>
        <w:tab/>
      </w:r>
      <w:r>
        <w:rPr>
          <w:rStyle w:val="16"/>
          <w:rFonts w:ascii="Times New Roman" w:hAnsi="Times New Roman"/>
          <w:color w:val="auto"/>
        </w:rPr>
        <w:t>Purpose and Objectives of ESMP</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_Toc220710865 \h </w:instrText>
      </w:r>
      <w:r>
        <w:rPr>
          <w:rFonts w:ascii="Times New Roman" w:hAnsi="Times New Roman"/>
        </w:rPr>
        <w:fldChar w:fldCharType="separate"/>
      </w:r>
      <w:r>
        <w:rPr>
          <w:rFonts w:ascii="Times New Roman" w:hAnsi="Times New Roman"/>
        </w:rPr>
        <w:t>83</w:t>
      </w:r>
      <w:r>
        <w:rPr>
          <w:rFonts w:ascii="Times New Roman" w:hAnsi="Times New Roman"/>
        </w:rPr>
        <w:fldChar w:fldCharType="end"/>
      </w:r>
      <w:r>
        <w:rPr>
          <w:rFonts w:ascii="Times New Roman" w:hAnsi="Times New Roman"/>
        </w:rPr>
        <w:fldChar w:fldCharType="end"/>
      </w:r>
    </w:p>
    <w:p w14:paraId="314073A4">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"_Toc220710866" </w:instrText>
      </w:r>
      <w:r>
        <w:fldChar w:fldCharType="separate"/>
      </w:r>
      <w:r>
        <w:rPr>
          <w:rStyle w:val="16"/>
          <w:rFonts w:ascii="Times New Roman" w:hAnsi="Times New Roman"/>
          <w:color w:val="auto"/>
        </w:rPr>
        <w:t>8.3</w:t>
      </w:r>
      <w:r>
        <w:rPr>
          <w:rFonts w:ascii="Times New Roman" w:hAnsi="Times New Roman" w:eastAsiaTheme="minorEastAsia"/>
          <w:kern w:val="2"/>
          <w:szCs w:val="24"/>
          <w:lang w:val="en-US" w:eastAsia="zh-CN"/>
        </w:rPr>
        <w:tab/>
      </w:r>
      <w:r>
        <w:rPr>
          <w:rStyle w:val="16"/>
          <w:rFonts w:ascii="Times New Roman" w:hAnsi="Times New Roman"/>
          <w:color w:val="auto"/>
        </w:rPr>
        <w:t>Auditing of ESMP</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_Toc220710866 \h </w:instrText>
      </w:r>
      <w:r>
        <w:rPr>
          <w:rFonts w:ascii="Times New Roman" w:hAnsi="Times New Roman"/>
        </w:rPr>
        <w:fldChar w:fldCharType="separate"/>
      </w:r>
      <w:r>
        <w:rPr>
          <w:rFonts w:ascii="Times New Roman" w:hAnsi="Times New Roman"/>
        </w:rPr>
        <w:t>83</w:t>
      </w:r>
      <w:r>
        <w:rPr>
          <w:rFonts w:ascii="Times New Roman" w:hAnsi="Times New Roman"/>
        </w:rPr>
        <w:fldChar w:fldCharType="end"/>
      </w:r>
      <w:r>
        <w:rPr>
          <w:rFonts w:ascii="Times New Roman" w:hAnsi="Times New Roman"/>
        </w:rPr>
        <w:fldChar w:fldCharType="end"/>
      </w:r>
    </w:p>
    <w:p w14:paraId="10A120F0">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"_Toc220710867" </w:instrText>
      </w:r>
      <w:r>
        <w:fldChar w:fldCharType="separate"/>
      </w:r>
      <w:r>
        <w:rPr>
          <w:rStyle w:val="16"/>
          <w:rFonts w:ascii="Times New Roman" w:hAnsi="Times New Roman"/>
          <w:color w:val="auto"/>
        </w:rPr>
        <w:t>8.4</w:t>
      </w:r>
      <w:r>
        <w:rPr>
          <w:rFonts w:ascii="Times New Roman" w:hAnsi="Times New Roman" w:eastAsiaTheme="minorEastAsia"/>
          <w:kern w:val="2"/>
          <w:szCs w:val="24"/>
          <w:lang w:val="en-US" w:eastAsia="zh-CN"/>
        </w:rPr>
        <w:tab/>
      </w:r>
      <w:r>
        <w:rPr>
          <w:rStyle w:val="16"/>
          <w:rFonts w:ascii="Times New Roman" w:hAnsi="Times New Roman"/>
          <w:color w:val="auto"/>
        </w:rPr>
        <w:t>Project implementation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_Toc220710867 \h </w:instrText>
      </w:r>
      <w:r>
        <w:rPr>
          <w:rFonts w:ascii="Times New Roman" w:hAnsi="Times New Roman"/>
        </w:rPr>
        <w:fldChar w:fldCharType="separate"/>
      </w:r>
      <w:r>
        <w:rPr>
          <w:rFonts w:ascii="Times New Roman" w:hAnsi="Times New Roman"/>
        </w:rPr>
        <w:t>83</w:t>
      </w:r>
      <w:r>
        <w:rPr>
          <w:rFonts w:ascii="Times New Roman" w:hAnsi="Times New Roman"/>
        </w:rPr>
        <w:fldChar w:fldCharType="end"/>
      </w:r>
      <w:r>
        <w:rPr>
          <w:rFonts w:ascii="Times New Roman" w:hAnsi="Times New Roman"/>
        </w:rPr>
        <w:fldChar w:fldCharType="end"/>
      </w:r>
    </w:p>
    <w:p w14:paraId="1079602C">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"_Toc220710868" </w:instrText>
      </w:r>
      <w:r>
        <w:fldChar w:fldCharType="separate"/>
      </w:r>
      <w:r>
        <w:rPr>
          <w:rStyle w:val="16"/>
          <w:rFonts w:ascii="Times New Roman" w:hAnsi="Times New Roman"/>
          <w:color w:val="auto"/>
        </w:rPr>
        <w:t>8.7</w:t>
      </w:r>
      <w:r>
        <w:rPr>
          <w:rFonts w:ascii="Times New Roman" w:hAnsi="Times New Roman" w:eastAsiaTheme="minorEastAsia"/>
          <w:kern w:val="2"/>
          <w:szCs w:val="24"/>
          <w:lang w:val="en-US" w:eastAsia="zh-CN"/>
        </w:rPr>
        <w:tab/>
      </w:r>
      <w:r>
        <w:rPr>
          <w:rStyle w:val="16"/>
          <w:rFonts w:ascii="Times New Roman" w:hAnsi="Times New Roman"/>
          <w:color w:val="auto"/>
        </w:rPr>
        <w:t>Environmental and Social Monitoring Plan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_Toc220710868 \h </w:instrText>
      </w:r>
      <w:r>
        <w:rPr>
          <w:rFonts w:ascii="Times New Roman" w:hAnsi="Times New Roman"/>
        </w:rPr>
        <w:fldChar w:fldCharType="separate"/>
      </w:r>
      <w:r>
        <w:rPr>
          <w:rFonts w:ascii="Times New Roman" w:hAnsi="Times New Roman"/>
        </w:rPr>
        <w:t>93</w:t>
      </w:r>
      <w:r>
        <w:rPr>
          <w:rFonts w:ascii="Times New Roman" w:hAnsi="Times New Roman"/>
        </w:rPr>
        <w:fldChar w:fldCharType="end"/>
      </w:r>
      <w:r>
        <w:rPr>
          <w:rFonts w:ascii="Times New Roman" w:hAnsi="Times New Roman"/>
        </w:rPr>
        <w:fldChar w:fldCharType="end"/>
      </w:r>
    </w:p>
    <w:p w14:paraId="1B6B2851">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"_Toc220710869" </w:instrText>
      </w:r>
      <w:r>
        <w:fldChar w:fldCharType="separate"/>
      </w:r>
      <w:r>
        <w:rPr>
          <w:rStyle w:val="16"/>
          <w:rFonts w:ascii="Times New Roman" w:hAnsi="Times New Roman"/>
          <w:color w:val="auto"/>
        </w:rPr>
        <w:t>8.9</w:t>
      </w:r>
      <w:r>
        <w:rPr>
          <w:rFonts w:ascii="Times New Roman" w:hAnsi="Times New Roman" w:eastAsiaTheme="minorEastAsia"/>
          <w:kern w:val="2"/>
          <w:szCs w:val="24"/>
          <w:lang w:val="en-US" w:eastAsia="zh-CN"/>
        </w:rPr>
        <w:tab/>
      </w:r>
      <w:r>
        <w:rPr>
          <w:rStyle w:val="16"/>
          <w:rFonts w:ascii="Times New Roman" w:hAnsi="Times New Roman"/>
          <w:color w:val="auto"/>
        </w:rPr>
        <w:t>Grievance Redress Mechanism</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_Toc220710869 \h </w:instrText>
      </w:r>
      <w:r>
        <w:rPr>
          <w:rFonts w:ascii="Times New Roman" w:hAnsi="Times New Roman"/>
        </w:rPr>
        <w:fldChar w:fldCharType="separate"/>
      </w:r>
      <w:r>
        <w:rPr>
          <w:rFonts w:ascii="Times New Roman" w:hAnsi="Times New Roman"/>
        </w:rPr>
        <w:t>100</w:t>
      </w:r>
      <w:r>
        <w:rPr>
          <w:rFonts w:ascii="Times New Roman" w:hAnsi="Times New Roman"/>
        </w:rPr>
        <w:fldChar w:fldCharType="end"/>
      </w:r>
      <w:r>
        <w:rPr>
          <w:rFonts w:ascii="Times New Roman" w:hAnsi="Times New Roman"/>
        </w:rPr>
        <w:fldChar w:fldCharType="end"/>
      </w:r>
    </w:p>
    <w:p w14:paraId="78F664F8">
      <w:pPr>
        <w:pStyle w:val="25"/>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"_Toc220710870" </w:instrText>
      </w:r>
      <w:r>
        <w:fldChar w:fldCharType="separate"/>
      </w:r>
      <w:r>
        <w:rPr>
          <w:rStyle w:val="16"/>
          <w:rFonts w:ascii="Times New Roman" w:hAnsi="Times New Roman" w:eastAsia="Symbol"/>
          <w:color w:val="auto"/>
        </w:rPr>
        <w:t></w:t>
      </w:r>
      <w:r>
        <w:rPr>
          <w:rFonts w:ascii="Times New Roman" w:hAnsi="Times New Roman" w:eastAsiaTheme="minorEastAsia"/>
          <w:kern w:val="2"/>
          <w:szCs w:val="24"/>
          <w:lang w:val="en-US" w:eastAsia="zh-CN"/>
        </w:rPr>
        <w:tab/>
      </w:r>
      <w:r>
        <w:rPr>
          <w:rStyle w:val="16"/>
          <w:rFonts w:ascii="Times New Roman" w:hAnsi="Times New Roman" w:eastAsia="MS Gothic"/>
          <w:color w:val="auto"/>
        </w:rPr>
        <w:t>Possible Sources of Grievances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_Toc220710870 \h </w:instrText>
      </w:r>
      <w:r>
        <w:rPr>
          <w:rFonts w:ascii="Times New Roman" w:hAnsi="Times New Roman"/>
        </w:rPr>
        <w:fldChar w:fldCharType="separate"/>
      </w:r>
      <w:r>
        <w:rPr>
          <w:rFonts w:ascii="Times New Roman" w:hAnsi="Times New Roman"/>
        </w:rPr>
        <w:t>100</w:t>
      </w:r>
      <w:r>
        <w:rPr>
          <w:rFonts w:ascii="Times New Roman" w:hAnsi="Times New Roman"/>
        </w:rPr>
        <w:fldChar w:fldCharType="end"/>
      </w:r>
      <w:r>
        <w:rPr>
          <w:rFonts w:ascii="Times New Roman" w:hAnsi="Times New Roman"/>
        </w:rPr>
        <w:fldChar w:fldCharType="end"/>
      </w:r>
    </w:p>
    <w:p w14:paraId="1F8C6B1E">
      <w:pPr>
        <w:pStyle w:val="24"/>
        <w:tabs>
          <w:tab w:val="left" w:pos="960"/>
          <w:tab w:val="right" w:leader="dot" w:pos="9016"/>
        </w:tabs>
        <w:rPr>
          <w:rFonts w:ascii="Times New Roman" w:hAnsi="Times New Roman" w:eastAsiaTheme="minorEastAsia"/>
          <w:kern w:val="2"/>
          <w:szCs w:val="24"/>
          <w:lang w:val="en-US" w:eastAsia="zh-CN"/>
        </w:rPr>
      </w:pPr>
      <w:r>
        <w:fldChar w:fldCharType="begin"/>
      </w:r>
      <w:r>
        <w:instrText xml:space="preserve"> HYPERLINK \l "_Toc220710871" </w:instrText>
      </w:r>
      <w:r>
        <w:fldChar w:fldCharType="separate"/>
      </w:r>
      <w:r>
        <w:rPr>
          <w:rStyle w:val="16"/>
          <w:rFonts w:ascii="Times New Roman" w:hAnsi="Times New Roman"/>
          <w:color w:val="auto"/>
        </w:rPr>
        <w:t>8.10</w:t>
      </w:r>
      <w:r>
        <w:rPr>
          <w:rFonts w:ascii="Times New Roman" w:hAnsi="Times New Roman" w:eastAsiaTheme="minorEastAsia"/>
          <w:kern w:val="2"/>
          <w:szCs w:val="24"/>
          <w:lang w:val="en-US" w:eastAsia="zh-CN"/>
        </w:rPr>
        <w:tab/>
      </w:r>
      <w:r>
        <w:rPr>
          <w:rStyle w:val="16"/>
          <w:rFonts w:ascii="Times New Roman" w:hAnsi="Times New Roman"/>
          <w:color w:val="auto"/>
        </w:rPr>
        <w:t>Institutional Framework for Implementation of the Project and the ESMP</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_Toc220710871 \h </w:instrText>
      </w:r>
      <w:r>
        <w:rPr>
          <w:rFonts w:ascii="Times New Roman" w:hAnsi="Times New Roman"/>
        </w:rPr>
        <w:fldChar w:fldCharType="separate"/>
      </w:r>
      <w:r>
        <w:rPr>
          <w:rFonts w:ascii="Times New Roman" w:hAnsi="Times New Roman"/>
        </w:rPr>
        <w:t>102</w:t>
      </w:r>
      <w:r>
        <w:rPr>
          <w:rFonts w:ascii="Times New Roman" w:hAnsi="Times New Roman"/>
        </w:rPr>
        <w:fldChar w:fldCharType="end"/>
      </w:r>
      <w:r>
        <w:rPr>
          <w:rFonts w:ascii="Times New Roman" w:hAnsi="Times New Roman"/>
        </w:rPr>
        <w:fldChar w:fldCharType="end"/>
      </w:r>
    </w:p>
    <w:p w14:paraId="68F61C76">
      <w:pPr>
        <w:pStyle w:val="23"/>
        <w:tabs>
          <w:tab w:val="left" w:pos="720"/>
          <w:tab w:val="right" w:leader="dot" w:pos="9016"/>
        </w:tabs>
        <w:rPr>
          <w:rFonts w:ascii="Times New Roman" w:hAnsi="Times New Roman" w:eastAsiaTheme="minorEastAsia"/>
          <w:kern w:val="2"/>
          <w:szCs w:val="24"/>
          <w:lang w:val="en-US" w:eastAsia="zh-CN"/>
        </w:rPr>
      </w:pPr>
      <w:r>
        <w:fldChar w:fldCharType="begin"/>
      </w:r>
      <w:r>
        <w:instrText xml:space="preserve"> HYPERLINK \l "_Toc220710872" </w:instrText>
      </w:r>
      <w:r>
        <w:fldChar w:fldCharType="separate"/>
      </w:r>
      <w:r>
        <w:rPr>
          <w:rStyle w:val="16"/>
          <w:rFonts w:ascii="Times New Roman" w:hAnsi="Times New Roman"/>
          <w:color w:val="auto"/>
        </w:rPr>
        <w:t>9.0</w:t>
      </w:r>
      <w:r>
        <w:rPr>
          <w:rFonts w:ascii="Times New Roman" w:hAnsi="Times New Roman" w:eastAsiaTheme="minorEastAsia"/>
          <w:kern w:val="2"/>
          <w:szCs w:val="24"/>
          <w:lang w:val="en-US" w:eastAsia="zh-CN"/>
        </w:rPr>
        <w:tab/>
      </w:r>
      <w:r>
        <w:rPr>
          <w:rStyle w:val="16"/>
          <w:rFonts w:ascii="Times New Roman" w:hAnsi="Times New Roman"/>
          <w:color w:val="auto"/>
        </w:rPr>
        <w:t>CONCLUSIONS AND RECOMMENDATIONS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_Toc220710872 \h </w:instrText>
      </w:r>
      <w:r>
        <w:rPr>
          <w:rFonts w:ascii="Times New Roman" w:hAnsi="Times New Roman"/>
        </w:rPr>
        <w:fldChar w:fldCharType="separate"/>
      </w:r>
      <w:r>
        <w:rPr>
          <w:rFonts w:ascii="Times New Roman" w:hAnsi="Times New Roman"/>
        </w:rPr>
        <w:t>103</w:t>
      </w:r>
      <w:r>
        <w:rPr>
          <w:rFonts w:ascii="Times New Roman" w:hAnsi="Times New Roman"/>
        </w:rPr>
        <w:fldChar w:fldCharType="end"/>
      </w:r>
      <w:r>
        <w:rPr>
          <w:rFonts w:ascii="Times New Roman" w:hAnsi="Times New Roman"/>
        </w:rPr>
        <w:fldChar w:fldCharType="end"/>
      </w:r>
    </w:p>
    <w:p w14:paraId="44AECE68">
      <w:pPr>
        <w:pStyle w:val="23"/>
        <w:tabs>
          <w:tab w:val="left" w:pos="720"/>
          <w:tab w:val="right" w:leader="dot" w:pos="9016"/>
        </w:tabs>
        <w:rPr>
          <w:rFonts w:ascii="Times New Roman" w:hAnsi="Times New Roman" w:eastAsiaTheme="minorEastAsia"/>
          <w:kern w:val="2"/>
          <w:szCs w:val="24"/>
          <w:lang w:val="en-US" w:eastAsia="zh-CN"/>
        </w:rPr>
      </w:pPr>
      <w:r>
        <w:fldChar w:fldCharType="begin"/>
      </w:r>
      <w:r>
        <w:instrText xml:space="preserve"> HYPERLINK \l "_Toc220710873" </w:instrText>
      </w:r>
      <w:r>
        <w:fldChar w:fldCharType="separate"/>
      </w:r>
      <w:r>
        <w:rPr>
          <w:rStyle w:val="16"/>
          <w:rFonts w:ascii="Times New Roman" w:hAnsi="Times New Roman"/>
          <w:color w:val="auto"/>
        </w:rPr>
        <w:t>10.0</w:t>
      </w:r>
      <w:r>
        <w:rPr>
          <w:rFonts w:ascii="Times New Roman" w:hAnsi="Times New Roman" w:eastAsiaTheme="minorEastAsia"/>
          <w:kern w:val="2"/>
          <w:szCs w:val="24"/>
          <w:lang w:val="en-US" w:eastAsia="zh-CN"/>
        </w:rPr>
        <w:tab/>
      </w:r>
      <w:r>
        <w:rPr>
          <w:rStyle w:val="16"/>
          <w:rFonts w:ascii="Times New Roman" w:hAnsi="Times New Roman"/>
          <w:color w:val="auto"/>
        </w:rPr>
        <w:t>REFERENCES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_Toc220710873 \h </w:instrText>
      </w:r>
      <w:r>
        <w:rPr>
          <w:rFonts w:ascii="Times New Roman" w:hAnsi="Times New Roman"/>
        </w:rPr>
        <w:fldChar w:fldCharType="separate"/>
      </w:r>
      <w:r>
        <w:rPr>
          <w:rFonts w:ascii="Times New Roman" w:hAnsi="Times New Roman"/>
        </w:rPr>
        <w:t>104</w:t>
      </w:r>
      <w:r>
        <w:rPr>
          <w:rFonts w:ascii="Times New Roman" w:hAnsi="Times New Roman"/>
        </w:rPr>
        <w:fldChar w:fldCharType="end"/>
      </w:r>
      <w:r>
        <w:rPr>
          <w:rFonts w:ascii="Times New Roman" w:hAnsi="Times New Roman"/>
        </w:rPr>
        <w:fldChar w:fldCharType="end"/>
      </w:r>
    </w:p>
    <w:p w14:paraId="01314912">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"_Toc220710874" </w:instrText>
      </w:r>
      <w:r>
        <w:fldChar w:fldCharType="separate"/>
      </w:r>
      <w:r>
        <w:rPr>
          <w:rStyle w:val="16"/>
          <w:rFonts w:ascii="Times New Roman" w:hAnsi="Times New Roman"/>
          <w:color w:val="auto"/>
          <w:spacing w:val="-1"/>
          <w:w w:val="105"/>
          <w:lang w:val="en-US"/>
        </w:rPr>
        <w:t>1.1.</w:t>
      </w:r>
      <w:r>
        <w:rPr>
          <w:rFonts w:ascii="Times New Roman" w:hAnsi="Times New Roman" w:eastAsiaTheme="minorEastAsia"/>
          <w:kern w:val="2"/>
          <w:szCs w:val="24"/>
          <w:lang w:val="en-US" w:eastAsia="zh-CN"/>
        </w:rPr>
        <w:tab/>
      </w:r>
      <w:r>
        <w:rPr>
          <w:rStyle w:val="16"/>
          <w:rFonts w:ascii="Times New Roman" w:hAnsi="Times New Roman"/>
          <w:color w:val="auto"/>
          <w:spacing w:val="-2"/>
        </w:rPr>
        <w:t>INTRODUCTION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_Toc220710874 \h </w:instrText>
      </w:r>
      <w:r>
        <w:rPr>
          <w:rFonts w:ascii="Times New Roman" w:hAnsi="Times New Roman"/>
        </w:rPr>
        <w:fldChar w:fldCharType="separate"/>
      </w:r>
      <w:r>
        <w:rPr>
          <w:rFonts w:ascii="Times New Roman" w:hAnsi="Times New Roman"/>
        </w:rPr>
        <w:t>119</w:t>
      </w:r>
      <w:r>
        <w:rPr>
          <w:rFonts w:ascii="Times New Roman" w:hAnsi="Times New Roman"/>
        </w:rPr>
        <w:fldChar w:fldCharType="end"/>
      </w:r>
      <w:r>
        <w:rPr>
          <w:rFonts w:ascii="Times New Roman" w:hAnsi="Times New Roman"/>
        </w:rPr>
        <w:fldChar w:fldCharType="end"/>
      </w:r>
    </w:p>
    <w:p w14:paraId="5ACCF07C">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"_Toc220710875" </w:instrText>
      </w:r>
      <w:r>
        <w:fldChar w:fldCharType="separate"/>
      </w:r>
      <w:r>
        <w:rPr>
          <w:rStyle w:val="16"/>
          <w:rFonts w:ascii="Times New Roman" w:hAnsi="Times New Roman"/>
          <w:color w:val="auto"/>
          <w:spacing w:val="-1"/>
          <w:w w:val="105"/>
          <w:lang w:val="en-US"/>
        </w:rPr>
        <w:t>1.2.</w:t>
      </w:r>
      <w:r>
        <w:rPr>
          <w:rFonts w:ascii="Times New Roman" w:hAnsi="Times New Roman" w:eastAsiaTheme="minorEastAsia"/>
          <w:kern w:val="2"/>
          <w:szCs w:val="24"/>
          <w:lang w:val="en-US" w:eastAsia="zh-CN"/>
        </w:rPr>
        <w:tab/>
      </w:r>
      <w:r>
        <w:rPr>
          <w:rStyle w:val="16"/>
          <w:rFonts w:ascii="Times New Roman" w:hAnsi="Times New Roman"/>
          <w:color w:val="auto"/>
          <w:spacing w:val="-7"/>
        </w:rPr>
        <w:t>ABLUTION</w:t>
      </w:r>
      <w:r>
        <w:rPr>
          <w:rStyle w:val="16"/>
          <w:rFonts w:ascii="Times New Roman" w:hAnsi="Times New Roman"/>
          <w:color w:val="auto"/>
          <w:spacing w:val="2"/>
        </w:rPr>
        <w:t xml:space="preserve"> </w:t>
      </w:r>
      <w:r>
        <w:rPr>
          <w:rStyle w:val="16"/>
          <w:rFonts w:ascii="Times New Roman" w:hAnsi="Times New Roman"/>
          <w:color w:val="auto"/>
          <w:spacing w:val="-2"/>
        </w:rPr>
        <w:t>BLOCK DESIGN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_Toc220710875 \h </w:instrText>
      </w:r>
      <w:r>
        <w:rPr>
          <w:rFonts w:ascii="Times New Roman" w:hAnsi="Times New Roman"/>
        </w:rPr>
        <w:fldChar w:fldCharType="separate"/>
      </w:r>
      <w:r>
        <w:rPr>
          <w:rFonts w:ascii="Times New Roman" w:hAnsi="Times New Roman"/>
        </w:rPr>
        <w:t>119</w:t>
      </w:r>
      <w:r>
        <w:rPr>
          <w:rFonts w:ascii="Times New Roman" w:hAnsi="Times New Roman"/>
        </w:rPr>
        <w:fldChar w:fldCharType="end"/>
      </w:r>
      <w:r>
        <w:rPr>
          <w:rFonts w:ascii="Times New Roman" w:hAnsi="Times New Roman"/>
        </w:rPr>
        <w:fldChar w:fldCharType="end"/>
      </w:r>
    </w:p>
    <w:p w14:paraId="0332A0B0">
      <w:pPr>
        <w:pStyle w:val="25"/>
        <w:tabs>
          <w:tab w:val="right" w:leader="dot" w:pos="9016"/>
        </w:tabs>
        <w:rPr>
          <w:rFonts w:ascii="Times New Roman" w:hAnsi="Times New Roman" w:eastAsiaTheme="minorEastAsia"/>
          <w:kern w:val="2"/>
          <w:szCs w:val="24"/>
          <w:lang w:val="en-US" w:eastAsia="zh-CN"/>
        </w:rPr>
      </w:pPr>
      <w:r>
        <w:fldChar w:fldCharType="begin"/>
      </w:r>
      <w:r>
        <w:instrText xml:space="preserve"> HYPERLINK \l "_Toc220710876" </w:instrText>
      </w:r>
      <w:r>
        <w:fldChar w:fldCharType="separate"/>
      </w:r>
      <w:r>
        <w:rPr>
          <w:rStyle w:val="16"/>
          <w:rFonts w:ascii="Times New Roman" w:hAnsi="Times New Roman"/>
          <w:color w:val="auto"/>
        </w:rPr>
        <w:t>11.1</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_Toc220710876 \h </w:instrText>
      </w:r>
      <w:r>
        <w:rPr>
          <w:rFonts w:ascii="Times New Roman" w:hAnsi="Times New Roman"/>
        </w:rPr>
        <w:fldChar w:fldCharType="separate"/>
      </w:r>
      <w:r>
        <w:rPr>
          <w:rFonts w:ascii="Times New Roman" w:hAnsi="Times New Roman"/>
        </w:rPr>
        <w:t>119</w:t>
      </w:r>
      <w:r>
        <w:rPr>
          <w:rFonts w:ascii="Times New Roman" w:hAnsi="Times New Roman"/>
        </w:rPr>
        <w:fldChar w:fldCharType="end"/>
      </w:r>
      <w:r>
        <w:rPr>
          <w:rFonts w:ascii="Times New Roman" w:hAnsi="Times New Roman"/>
        </w:rPr>
        <w:fldChar w:fldCharType="end"/>
      </w:r>
    </w:p>
    <w:p w14:paraId="484B447F">
      <w:pPr>
        <w:pStyle w:val="25"/>
        <w:tabs>
          <w:tab w:val="left" w:pos="1200"/>
          <w:tab w:val="right" w:leader="dot" w:pos="9016"/>
        </w:tabs>
        <w:rPr>
          <w:rFonts w:ascii="Times New Roman" w:hAnsi="Times New Roman" w:eastAsiaTheme="minorEastAsia"/>
          <w:kern w:val="2"/>
          <w:szCs w:val="24"/>
          <w:lang w:val="en-US" w:eastAsia="zh-CN"/>
        </w:rPr>
      </w:pPr>
      <w:r>
        <w:fldChar w:fldCharType="begin"/>
      </w:r>
      <w:r>
        <w:instrText xml:space="preserve"> HYPERLINK \l "_Toc220710877" </w:instrText>
      </w:r>
      <w:r>
        <w:fldChar w:fldCharType="separate"/>
      </w:r>
      <w:r>
        <w:rPr>
          <w:rStyle w:val="16"/>
          <w:rFonts w:ascii="Times New Roman" w:hAnsi="Times New Roman"/>
          <w:color w:val="auto"/>
          <w:spacing w:val="-1"/>
          <w:w w:val="105"/>
          <w:lang w:val="en-US"/>
        </w:rPr>
        <w:t>1.3.</w:t>
      </w:r>
      <w:r>
        <w:rPr>
          <w:rFonts w:ascii="Times New Roman" w:hAnsi="Times New Roman" w:eastAsiaTheme="minorEastAsia"/>
          <w:kern w:val="2"/>
          <w:szCs w:val="24"/>
          <w:lang w:val="en-US" w:eastAsia="zh-CN"/>
        </w:rPr>
        <w:tab/>
      </w:r>
      <w:r>
        <w:rPr>
          <w:rStyle w:val="16"/>
          <w:rFonts w:ascii="Times New Roman" w:hAnsi="Times New Roman"/>
          <w:color w:val="auto"/>
        </w:rPr>
        <w:t>Proposed Layout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_Toc220710877 \h </w:instrText>
      </w:r>
      <w:r>
        <w:rPr>
          <w:rFonts w:ascii="Times New Roman" w:hAnsi="Times New Roman"/>
        </w:rPr>
        <w:fldChar w:fldCharType="separate"/>
      </w:r>
      <w:r>
        <w:rPr>
          <w:rFonts w:ascii="Times New Roman" w:hAnsi="Times New Roman"/>
        </w:rPr>
        <w:t>119</w:t>
      </w:r>
      <w:r>
        <w:rPr>
          <w:rFonts w:ascii="Times New Roman" w:hAnsi="Times New Roman"/>
        </w:rPr>
        <w:fldChar w:fldCharType="end"/>
      </w:r>
      <w:r>
        <w:rPr>
          <w:rFonts w:ascii="Times New Roman" w:hAnsi="Times New Roman"/>
        </w:rPr>
        <w:fldChar w:fldCharType="end"/>
      </w:r>
    </w:p>
    <w:p w14:paraId="0A8F9DB3">
      <w:pPr>
        <w:pStyle w:val="23"/>
        <w:tabs>
          <w:tab w:val="right" w:leader="dot" w:pos="9016"/>
        </w:tabs>
        <w:rPr>
          <w:rFonts w:ascii="Times New Roman" w:hAnsi="Times New Roman" w:eastAsiaTheme="minorEastAsia"/>
          <w:kern w:val="2"/>
          <w:szCs w:val="24"/>
          <w:lang w:val="en-US" w:eastAsia="zh-CN"/>
        </w:rPr>
      </w:pPr>
      <w:r>
        <w:fldChar w:fldCharType="begin"/>
      </w:r>
      <w:r>
        <w:instrText xml:space="preserve"> HYPERLINK \l "_Toc220710878" </w:instrText>
      </w:r>
      <w:r>
        <w:fldChar w:fldCharType="separate"/>
      </w:r>
      <w:r>
        <w:rPr>
          <w:rStyle w:val="16"/>
          <w:rFonts w:ascii="Times New Roman" w:hAnsi="Times New Roman"/>
          <w:color w:val="auto"/>
        </w:rPr>
        <w:t>List of Appendices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_Toc220710878 \h </w:instrText>
      </w:r>
      <w:r>
        <w:rPr>
          <w:rFonts w:ascii="Times New Roman" w:hAnsi="Times New Roman"/>
        </w:rPr>
        <w:fldChar w:fldCharType="separate"/>
      </w:r>
      <w:r>
        <w:rPr>
          <w:rFonts w:ascii="Times New Roman" w:hAnsi="Times New Roman"/>
        </w:rPr>
        <w:t>122</w:t>
      </w:r>
      <w:r>
        <w:rPr>
          <w:rFonts w:ascii="Times New Roman" w:hAnsi="Times New Roman"/>
        </w:rPr>
        <w:fldChar w:fldCharType="end"/>
      </w:r>
      <w:r>
        <w:rPr>
          <w:rFonts w:ascii="Times New Roman" w:hAnsi="Times New Roman"/>
        </w:rPr>
        <w:fldChar w:fldCharType="end"/>
      </w:r>
    </w:p>
    <w:p w14:paraId="5B1C0D2C">
      <w:pPr>
        <w:spacing w:after="0" w:line="240" w:lineRule="auto"/>
        <w:rPr>
          <w:rFonts w:ascii="Times New Roman" w:hAnsi="Times New Roman"/>
          <w:szCs w:val="24"/>
        </w:rPr>
      </w:pPr>
      <w:r>
        <w:rPr>
          <w:rFonts w:ascii="Times New Roman" w:hAnsi="Times New Roman"/>
          <w:szCs w:val="24"/>
        </w:rPr>
        <w:fldChar w:fldCharType="end"/>
      </w:r>
    </w:p>
    <w:p w14:paraId="443753F4">
      <w:pPr>
        <w:spacing w:after="0" w:line="240" w:lineRule="auto"/>
        <w:rPr>
          <w:rFonts w:ascii="Times New Roman" w:hAnsi="Times New Roman"/>
          <w:b/>
          <w:szCs w:val="24"/>
        </w:rPr>
      </w:pPr>
      <w:r>
        <w:rPr>
          <w:rFonts w:ascii="Times New Roman" w:hAnsi="Times New Roman"/>
          <w:b/>
          <w:szCs w:val="24"/>
        </w:rPr>
        <w:t>Table of Figures</w:t>
      </w:r>
    </w:p>
    <w:p w14:paraId="199CA14B">
      <w:pPr>
        <w:pStyle w:val="21"/>
        <w:tabs>
          <w:tab w:val="right" w:leader="dot" w:pos="9026"/>
        </w:tabs>
        <w:rPr>
          <w:rFonts w:ascii="Times New Roman" w:hAnsi="Times New Roman"/>
        </w:rPr>
      </w:pPr>
      <w:r>
        <w:rPr>
          <w:rFonts w:ascii="Times New Roman" w:hAnsi="Times New Roman"/>
          <w:szCs w:val="24"/>
        </w:rPr>
        <w:fldChar w:fldCharType="begin"/>
      </w:r>
      <w:r>
        <w:rPr>
          <w:rFonts w:ascii="Times New Roman" w:hAnsi="Times New Roman"/>
          <w:szCs w:val="24"/>
        </w:rPr>
        <w:instrText xml:space="preserve"> TOC \h \z \c "Figure" </w:instrText>
      </w:r>
      <w:r>
        <w:rPr>
          <w:rFonts w:ascii="Times New Roman" w:hAnsi="Times New Roman"/>
          <w:szCs w:val="24"/>
        </w:rPr>
        <w:fldChar w:fldCharType="separate"/>
      </w:r>
      <w:r>
        <w:fldChar w:fldCharType="begin"/>
      </w:r>
      <w:r>
        <w:instrText xml:space="preserve"> HYPERLINK \l "_Toc25003" </w:instrText>
      </w:r>
      <w:r>
        <w:fldChar w:fldCharType="separate"/>
      </w:r>
      <w:r>
        <w:rPr>
          <w:rFonts w:ascii="Times New Roman" w:hAnsi="Times New Roman"/>
          <w:bCs/>
          <w:szCs w:val="24"/>
        </w:rPr>
        <w:t>Figure 1</w:t>
      </w:r>
      <w:r>
        <w:rPr>
          <w:rFonts w:ascii="Times New Roman" w:hAnsi="Times New Roman"/>
        </w:rPr>
        <w:t xml:space="preserve"> </w:t>
      </w:r>
      <w:r>
        <w:rPr>
          <w:rFonts w:ascii="Times New Roman" w:hAnsi="Times New Roman"/>
          <w:bCs/>
          <w:szCs w:val="24"/>
        </w:rPr>
        <w:t xml:space="preserve">  :  Kilifi County and Neighbouring Counties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_Toc25003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28E47212">
      <w:pPr>
        <w:pStyle w:val="21"/>
        <w:tabs>
          <w:tab w:val="right" w:leader="dot" w:pos="9026"/>
        </w:tabs>
        <w:rPr>
          <w:rFonts w:ascii="Times New Roman" w:hAnsi="Times New Roman"/>
        </w:rPr>
      </w:pPr>
      <w:r>
        <w:fldChar w:fldCharType="begin"/>
      </w:r>
      <w:r>
        <w:instrText xml:space="preserve"> HYPERLINK \l "_Toc17055" </w:instrText>
      </w:r>
      <w:r>
        <w:fldChar w:fldCharType="separate"/>
      </w:r>
      <w:r>
        <w:rPr>
          <w:rFonts w:ascii="Times New Roman" w:hAnsi="Times New Roman"/>
          <w:bCs/>
          <w:szCs w:val="24"/>
        </w:rPr>
        <w:t>Figure 2</w:t>
      </w:r>
      <w:r>
        <w:rPr>
          <w:rFonts w:ascii="Times New Roman" w:hAnsi="Times New Roman"/>
        </w:rPr>
        <w:t xml:space="preserve"> </w:t>
      </w:r>
      <w:r>
        <w:rPr>
          <w:rFonts w:ascii="Times New Roman" w:hAnsi="Times New Roman"/>
          <w:bCs/>
          <w:szCs w:val="24"/>
        </w:rPr>
        <w:t xml:space="preserve">  :A Google Map Figure of the KIMAWSCO Office Kilifi at coordinates 3°37'42"S 39°50'53"E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_Toc17055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14:paraId="5EF8DC60">
      <w:pPr>
        <w:pStyle w:val="21"/>
        <w:tabs>
          <w:tab w:val="right" w:leader="dot" w:pos="9026"/>
        </w:tabs>
        <w:rPr>
          <w:rFonts w:ascii="Times New Roman" w:hAnsi="Times New Roman"/>
        </w:rPr>
      </w:pPr>
      <w:r>
        <w:fldChar w:fldCharType="begin"/>
      </w:r>
      <w:r>
        <w:instrText xml:space="preserve"> HYPERLINK \l "_Toc19977" </w:instrText>
      </w:r>
      <w:r>
        <w:fldChar w:fldCharType="separate"/>
      </w:r>
      <w:r>
        <w:rPr>
          <w:rFonts w:ascii="Times New Roman" w:hAnsi="Times New Roman"/>
          <w:bCs/>
          <w:szCs w:val="24"/>
        </w:rPr>
        <w:t>Figure 3</w:t>
      </w:r>
      <w:r>
        <w:rPr>
          <w:rFonts w:ascii="Times New Roman" w:hAnsi="Times New Roman"/>
        </w:rPr>
        <w:t xml:space="preserve"> </w:t>
      </w:r>
      <w:r>
        <w:rPr>
          <w:rFonts w:ascii="Times New Roman" w:hAnsi="Times New Roman"/>
          <w:bCs/>
          <w:szCs w:val="24"/>
        </w:rPr>
        <w:t xml:space="preserve"> :The water demand projection for Kilifi Town up to the Ultimate Design Horizon (year 2040). </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_Toc19977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14:paraId="0C2B45CA">
      <w:pPr>
        <w:pStyle w:val="21"/>
        <w:tabs>
          <w:tab w:val="right" w:leader="dot" w:pos="9026"/>
        </w:tabs>
        <w:rPr>
          <w:rFonts w:ascii="Times New Roman" w:hAnsi="Times New Roman"/>
        </w:rPr>
      </w:pPr>
      <w:r>
        <w:fldChar w:fldCharType="begin"/>
      </w:r>
      <w:r>
        <w:instrText xml:space="preserve"> HYPERLINK \l "_Toc27297" </w:instrText>
      </w:r>
      <w:r>
        <w:fldChar w:fldCharType="separate"/>
      </w:r>
      <w:r>
        <w:rPr>
          <w:rFonts w:ascii="Times New Roman" w:hAnsi="Times New Roman"/>
          <w:bCs/>
          <w:szCs w:val="24"/>
        </w:rPr>
        <w:t xml:space="preserve">Figure 4    : Typical site layout plan for an ablution block      </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_Toc27297 \h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fldChar w:fldCharType="end"/>
      </w:r>
    </w:p>
    <w:p w14:paraId="732113F9">
      <w:pPr>
        <w:pStyle w:val="21"/>
        <w:tabs>
          <w:tab w:val="right" w:leader="dot" w:pos="9026"/>
        </w:tabs>
        <w:rPr>
          <w:rFonts w:ascii="Times New Roman" w:hAnsi="Times New Roman"/>
        </w:rPr>
      </w:pPr>
      <w:r>
        <w:fldChar w:fldCharType="begin"/>
      </w:r>
      <w:r>
        <w:instrText xml:space="preserve"> HYPERLINK \l "_Toc12635" </w:instrText>
      </w:r>
      <w:r>
        <w:fldChar w:fldCharType="separate"/>
      </w:r>
      <w:r>
        <w:rPr>
          <w:rFonts w:ascii="Times New Roman" w:hAnsi="Times New Roman"/>
          <w:bCs/>
          <w:szCs w:val="24"/>
        </w:rPr>
        <w:t>Figure 5</w:t>
      </w:r>
      <w:r>
        <w:rPr>
          <w:rFonts w:ascii="Times New Roman" w:hAnsi="Times New Roman"/>
        </w:rPr>
        <w:t xml:space="preserve"> </w:t>
      </w:r>
      <w:r>
        <w:rPr>
          <w:rFonts w:ascii="Times New Roman" w:hAnsi="Times New Roman"/>
          <w:bCs/>
          <w:szCs w:val="24"/>
        </w:rPr>
        <w:t xml:space="preserve">  :  Projected Land Use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_Toc12635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rPr>
        <w:fldChar w:fldCharType="end"/>
      </w:r>
    </w:p>
    <w:p w14:paraId="57081D22">
      <w:pPr>
        <w:pStyle w:val="21"/>
        <w:tabs>
          <w:tab w:val="right" w:leader="dot" w:pos="9026"/>
        </w:tabs>
        <w:rPr>
          <w:rFonts w:ascii="Times New Roman" w:hAnsi="Times New Roman"/>
        </w:rPr>
      </w:pPr>
      <w:r>
        <w:fldChar w:fldCharType="begin"/>
      </w:r>
      <w:r>
        <w:instrText xml:space="preserve"> HYPERLINK \l "_Toc737" </w:instrText>
      </w:r>
      <w:r>
        <w:fldChar w:fldCharType="separate"/>
      </w:r>
      <w:r>
        <w:rPr>
          <w:rFonts w:ascii="Times New Roman" w:hAnsi="Times New Roman"/>
          <w:bCs/>
          <w:szCs w:val="24"/>
        </w:rPr>
        <w:t>Figure 6</w:t>
      </w:r>
      <w:r>
        <w:rPr>
          <w:rFonts w:ascii="Times New Roman" w:hAnsi="Times New Roman"/>
        </w:rPr>
        <w:t xml:space="preserve"> </w:t>
      </w:r>
      <w:r>
        <w:rPr>
          <w:rFonts w:ascii="Times New Roman" w:hAnsi="Times New Roman"/>
          <w:bCs/>
          <w:szCs w:val="24"/>
        </w:rPr>
        <w:t xml:space="preserve">    :  Precipitation in Kilifi County</w:t>
      </w:r>
      <w:r>
        <w:rPr>
          <w:rFonts w:ascii="Times New Roman" w:hAnsi="Times New Roman"/>
          <w:szCs w:val="24"/>
        </w:rPr>
        <w:t>(Source: en.climate-data.org)</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_Toc737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14:paraId="6D528DEC">
      <w:pPr>
        <w:pStyle w:val="21"/>
        <w:tabs>
          <w:tab w:val="right" w:leader="dot" w:pos="9026"/>
        </w:tabs>
        <w:rPr>
          <w:rFonts w:ascii="Times New Roman" w:hAnsi="Times New Roman"/>
        </w:rPr>
      </w:pPr>
      <w:r>
        <w:fldChar w:fldCharType="begin"/>
      </w:r>
      <w:r>
        <w:instrText xml:space="preserve"> HYPERLINK \l "_Toc26078" </w:instrText>
      </w:r>
      <w:r>
        <w:fldChar w:fldCharType="separate"/>
      </w:r>
      <w:r>
        <w:rPr>
          <w:rFonts w:ascii="Times New Roman" w:hAnsi="Times New Roman"/>
          <w:bCs/>
          <w:szCs w:val="24"/>
        </w:rPr>
        <w:t>Figure 7</w:t>
      </w:r>
      <w:r>
        <w:rPr>
          <w:rFonts w:ascii="Times New Roman" w:hAnsi="Times New Roman"/>
        </w:rPr>
        <w:t xml:space="preserve"> </w:t>
      </w:r>
      <w:r>
        <w:rPr>
          <w:rFonts w:ascii="Times New Roman" w:hAnsi="Times New Roman"/>
          <w:bCs/>
          <w:szCs w:val="24"/>
        </w:rPr>
        <w:t xml:space="preserve"> : Age Distribution of the Population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_Toc26078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14:paraId="131B7825">
      <w:pPr>
        <w:pStyle w:val="21"/>
        <w:tabs>
          <w:tab w:val="right" w:leader="dot" w:pos="9026"/>
        </w:tabs>
        <w:rPr>
          <w:rFonts w:ascii="Times New Roman" w:hAnsi="Times New Roman"/>
        </w:rPr>
      </w:pPr>
      <w:r>
        <w:fldChar w:fldCharType="begin"/>
      </w:r>
      <w:r>
        <w:instrText xml:space="preserve"> HYPERLINK \l "_Toc23711" </w:instrText>
      </w:r>
      <w:r>
        <w:fldChar w:fldCharType="separate"/>
      </w:r>
      <w:r>
        <w:rPr>
          <w:rFonts w:ascii="Times New Roman" w:hAnsi="Times New Roman"/>
          <w:szCs w:val="24"/>
        </w:rPr>
        <w:t>Figure 8</w:t>
      </w:r>
      <w:r>
        <w:rPr>
          <w:rFonts w:ascii="Times New Roman" w:hAnsi="Times New Roman"/>
        </w:rPr>
        <w:t xml:space="preserve"> </w:t>
      </w:r>
      <w:r>
        <w:rPr>
          <w:rFonts w:ascii="Times New Roman" w:hAnsi="Times New Roman"/>
          <w:szCs w:val="24"/>
        </w:rPr>
        <w:t xml:space="preserve"> : Religion of the Population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_Toc23711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fldChar w:fldCharType="end"/>
      </w:r>
    </w:p>
    <w:p w14:paraId="1FDCDC04">
      <w:pPr>
        <w:pStyle w:val="21"/>
        <w:tabs>
          <w:tab w:val="right" w:leader="dot" w:pos="9026"/>
        </w:tabs>
        <w:rPr>
          <w:rFonts w:ascii="Times New Roman" w:hAnsi="Times New Roman"/>
        </w:rPr>
      </w:pPr>
      <w:r>
        <w:fldChar w:fldCharType="begin"/>
      </w:r>
      <w:r>
        <w:instrText xml:space="preserve"> HYPERLINK \l "_Toc5341" </w:instrText>
      </w:r>
      <w:r>
        <w:fldChar w:fldCharType="separate"/>
      </w:r>
      <w:r>
        <w:rPr>
          <w:rFonts w:ascii="Times New Roman" w:hAnsi="Times New Roman"/>
          <w:szCs w:val="24"/>
        </w:rPr>
        <w:t>Figure 9</w:t>
      </w:r>
      <w:r>
        <w:rPr>
          <w:rFonts w:ascii="Times New Roman" w:hAnsi="Times New Roman"/>
        </w:rPr>
        <w:t xml:space="preserve"> </w:t>
      </w:r>
      <w:r>
        <w:rPr>
          <w:rFonts w:ascii="Times New Roman" w:hAnsi="Times New Roman"/>
          <w:szCs w:val="24"/>
        </w:rPr>
        <w:t xml:space="preserve"> : Sources of Energy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_Toc5341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fldChar w:fldCharType="end"/>
      </w:r>
    </w:p>
    <w:p w14:paraId="76F13E3F">
      <w:pPr>
        <w:pStyle w:val="21"/>
        <w:tabs>
          <w:tab w:val="right" w:leader="dot" w:pos="9026"/>
        </w:tabs>
        <w:rPr>
          <w:rFonts w:ascii="Times New Roman" w:hAnsi="Times New Roman"/>
        </w:rPr>
      </w:pPr>
      <w:r>
        <w:fldChar w:fldCharType="begin"/>
      </w:r>
      <w:r>
        <w:instrText xml:space="preserve"> HYPERLINK \l "_Toc10921" </w:instrText>
      </w:r>
      <w:r>
        <w:fldChar w:fldCharType="separate"/>
      </w:r>
      <w:r>
        <w:rPr>
          <w:rFonts w:ascii="Times New Roman" w:hAnsi="Times New Roman"/>
          <w:szCs w:val="24"/>
        </w:rPr>
        <w:t>Figure 10</w:t>
      </w:r>
      <w:r>
        <w:rPr>
          <w:rFonts w:ascii="Times New Roman" w:hAnsi="Times New Roman"/>
        </w:rPr>
        <w:t xml:space="preserve"> </w:t>
      </w:r>
      <w:r>
        <w:rPr>
          <w:rFonts w:ascii="Times New Roman" w:hAnsi="Times New Roman"/>
          <w:szCs w:val="24"/>
        </w:rPr>
        <w:t>: Business Types in the Project Areas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_Toc10921 \h </w:instrText>
      </w:r>
      <w:r>
        <w:rPr>
          <w:rFonts w:ascii="Times New Roman" w:hAnsi="Times New Roman"/>
        </w:rPr>
        <w:fldChar w:fldCharType="separate"/>
      </w:r>
      <w:r>
        <w:rPr>
          <w:rFonts w:ascii="Times New Roman" w:hAnsi="Times New Roman"/>
        </w:rPr>
        <w:t>28</w:t>
      </w:r>
      <w:r>
        <w:rPr>
          <w:rFonts w:ascii="Times New Roman" w:hAnsi="Times New Roman"/>
        </w:rPr>
        <w:fldChar w:fldCharType="end"/>
      </w:r>
      <w:r>
        <w:rPr>
          <w:rFonts w:ascii="Times New Roman" w:hAnsi="Times New Roman"/>
        </w:rPr>
        <w:fldChar w:fldCharType="end"/>
      </w:r>
    </w:p>
    <w:p w14:paraId="1FEDEAF4">
      <w:pPr>
        <w:pStyle w:val="21"/>
        <w:tabs>
          <w:tab w:val="right" w:leader="dot" w:pos="9026"/>
        </w:tabs>
        <w:rPr>
          <w:rFonts w:ascii="Times New Roman" w:hAnsi="Times New Roman"/>
        </w:rPr>
      </w:pPr>
      <w:r>
        <w:fldChar w:fldCharType="begin"/>
      </w:r>
      <w:r>
        <w:instrText xml:space="preserve"> HYPERLINK \l "_Toc16330" </w:instrText>
      </w:r>
      <w:r>
        <w:fldChar w:fldCharType="separate"/>
      </w:r>
      <w:r>
        <w:rPr>
          <w:rFonts w:ascii="Times New Roman" w:hAnsi="Times New Roman"/>
          <w:szCs w:val="24"/>
        </w:rPr>
        <w:t xml:space="preserve">Figure11 </w:t>
      </w:r>
      <w:r>
        <w:rPr>
          <w:rFonts w:ascii="Times New Roman" w:hAnsi="Times New Roman"/>
        </w:rPr>
        <w:t xml:space="preserve"> </w:t>
      </w:r>
      <w:r>
        <w:rPr>
          <w:rFonts w:ascii="Times New Roman" w:hAnsi="Times New Roman"/>
          <w:szCs w:val="24"/>
        </w:rPr>
        <w:t>: Household income per month</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_Toc16330 \h </w:instrText>
      </w:r>
      <w:r>
        <w:rPr>
          <w:rFonts w:ascii="Times New Roman" w:hAnsi="Times New Roman"/>
        </w:rPr>
        <w:fldChar w:fldCharType="separate"/>
      </w:r>
      <w:r>
        <w:rPr>
          <w:rFonts w:ascii="Times New Roman" w:hAnsi="Times New Roman"/>
        </w:rPr>
        <w:t>29</w:t>
      </w:r>
      <w:r>
        <w:rPr>
          <w:rFonts w:ascii="Times New Roman" w:hAnsi="Times New Roman"/>
        </w:rPr>
        <w:fldChar w:fldCharType="end"/>
      </w:r>
      <w:r>
        <w:rPr>
          <w:rFonts w:ascii="Times New Roman" w:hAnsi="Times New Roman"/>
        </w:rPr>
        <w:fldChar w:fldCharType="end"/>
      </w:r>
    </w:p>
    <w:p w14:paraId="055B540F">
      <w:pPr>
        <w:pStyle w:val="21"/>
        <w:tabs>
          <w:tab w:val="right" w:leader="dot" w:pos="9026"/>
        </w:tabs>
        <w:rPr>
          <w:rFonts w:ascii="Times New Roman" w:hAnsi="Times New Roman"/>
        </w:rPr>
      </w:pPr>
      <w:r>
        <w:fldChar w:fldCharType="begin"/>
      </w:r>
      <w:r>
        <w:instrText xml:space="preserve"> HYPERLINK \l "_Toc29462" </w:instrText>
      </w:r>
      <w:r>
        <w:fldChar w:fldCharType="separate"/>
      </w:r>
      <w:r>
        <w:rPr>
          <w:rFonts w:ascii="Times New Roman" w:hAnsi="Times New Roman"/>
          <w:szCs w:val="24"/>
        </w:rPr>
        <w:t xml:space="preserve">Figure </w:t>
      </w:r>
      <w:r>
        <w:rPr>
          <w:rFonts w:ascii="Times New Roman" w:hAnsi="Times New Roman"/>
        </w:rPr>
        <w:t xml:space="preserve">12 </w:t>
      </w:r>
      <w:r>
        <w:rPr>
          <w:rFonts w:ascii="Times New Roman" w:hAnsi="Times New Roman"/>
          <w:szCs w:val="24"/>
        </w:rPr>
        <w:t>: Main Sources of Water for the Community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_Toc29462 \h </w:instrText>
      </w:r>
      <w:r>
        <w:rPr>
          <w:rFonts w:ascii="Times New Roman" w:hAnsi="Times New Roman"/>
        </w:rPr>
        <w:fldChar w:fldCharType="separate"/>
      </w:r>
      <w:r>
        <w:rPr>
          <w:rFonts w:ascii="Times New Roman" w:hAnsi="Times New Roman"/>
        </w:rPr>
        <w:t>29</w:t>
      </w:r>
      <w:r>
        <w:rPr>
          <w:rFonts w:ascii="Times New Roman" w:hAnsi="Times New Roman"/>
        </w:rPr>
        <w:fldChar w:fldCharType="end"/>
      </w:r>
      <w:r>
        <w:rPr>
          <w:rFonts w:ascii="Times New Roman" w:hAnsi="Times New Roman"/>
        </w:rPr>
        <w:fldChar w:fldCharType="end"/>
      </w:r>
    </w:p>
    <w:p w14:paraId="1BB46685">
      <w:pPr>
        <w:pStyle w:val="21"/>
        <w:tabs>
          <w:tab w:val="right" w:leader="dot" w:pos="9026"/>
        </w:tabs>
        <w:rPr>
          <w:rFonts w:ascii="Times New Roman" w:hAnsi="Times New Roman"/>
        </w:rPr>
      </w:pPr>
      <w:r>
        <w:fldChar w:fldCharType="begin"/>
      </w:r>
      <w:r>
        <w:instrText xml:space="preserve"> HYPERLINK \l "_Toc24461" </w:instrText>
      </w:r>
      <w:r>
        <w:fldChar w:fldCharType="separate"/>
      </w:r>
      <w:r>
        <w:rPr>
          <w:rFonts w:ascii="Times New Roman" w:hAnsi="Times New Roman"/>
          <w:szCs w:val="24"/>
        </w:rPr>
        <w:t xml:space="preserve">Figure </w:t>
      </w:r>
      <w:r>
        <w:rPr>
          <w:rFonts w:ascii="Times New Roman" w:hAnsi="Times New Roman"/>
        </w:rPr>
        <w:t xml:space="preserve">13 </w:t>
      </w:r>
      <w:r>
        <w:rPr>
          <w:rFonts w:ascii="Times New Roman" w:hAnsi="Times New Roman"/>
          <w:szCs w:val="24"/>
        </w:rPr>
        <w:t>: Percentage Population Paying for Water</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_Toc24461 \h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Fonts w:ascii="Times New Roman" w:hAnsi="Times New Roman"/>
        </w:rPr>
        <w:fldChar w:fldCharType="end"/>
      </w:r>
    </w:p>
    <w:p w14:paraId="72CDB017">
      <w:pPr>
        <w:pStyle w:val="21"/>
        <w:tabs>
          <w:tab w:val="right" w:leader="dot" w:pos="9026"/>
        </w:tabs>
        <w:rPr>
          <w:rFonts w:ascii="Times New Roman" w:hAnsi="Times New Roman"/>
        </w:rPr>
      </w:pPr>
      <w:r>
        <w:fldChar w:fldCharType="begin"/>
      </w:r>
      <w:r>
        <w:instrText xml:space="preserve"> HYPERLINK \l "_Toc18743" </w:instrText>
      </w:r>
      <w:r>
        <w:fldChar w:fldCharType="separate"/>
      </w:r>
      <w:r>
        <w:rPr>
          <w:rFonts w:ascii="Times New Roman" w:hAnsi="Times New Roman"/>
          <w:szCs w:val="24"/>
        </w:rPr>
        <w:t xml:space="preserve">Figure </w:t>
      </w:r>
      <w:r>
        <w:rPr>
          <w:rFonts w:ascii="Times New Roman" w:hAnsi="Times New Roman"/>
        </w:rPr>
        <w:t xml:space="preserve">14 </w:t>
      </w:r>
      <w:r>
        <w:rPr>
          <w:rFonts w:ascii="Times New Roman" w:hAnsi="Times New Roman"/>
          <w:szCs w:val="24"/>
        </w:rPr>
        <w:t>:  Amount paid per 20-litre jerrican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_Toc18743 \h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Fonts w:ascii="Times New Roman" w:hAnsi="Times New Roman"/>
        </w:rPr>
        <w:fldChar w:fldCharType="end"/>
      </w:r>
    </w:p>
    <w:p w14:paraId="57E94FE6">
      <w:pPr>
        <w:pStyle w:val="21"/>
        <w:tabs>
          <w:tab w:val="right" w:leader="dot" w:pos="9026"/>
        </w:tabs>
        <w:rPr>
          <w:rFonts w:ascii="Times New Roman" w:hAnsi="Times New Roman"/>
        </w:rPr>
      </w:pPr>
      <w:r>
        <w:fldChar w:fldCharType="begin"/>
      </w:r>
      <w:r>
        <w:instrText xml:space="preserve"> HYPERLINK \l "_Toc3612" </w:instrText>
      </w:r>
      <w:r>
        <w:fldChar w:fldCharType="separate"/>
      </w:r>
      <w:r>
        <w:rPr>
          <w:rFonts w:ascii="Times New Roman" w:hAnsi="Times New Roman"/>
          <w:szCs w:val="24"/>
        </w:rPr>
        <w:t xml:space="preserve">Figure </w:t>
      </w:r>
      <w:r>
        <w:rPr>
          <w:rFonts w:ascii="Times New Roman" w:hAnsi="Times New Roman"/>
        </w:rPr>
        <w:t xml:space="preserve">15 </w:t>
      </w:r>
      <w:r>
        <w:rPr>
          <w:rFonts w:ascii="Times New Roman" w:hAnsi="Times New Roman"/>
          <w:szCs w:val="24"/>
        </w:rPr>
        <w:t>:   General Status of the Water Quality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_Toc3612 \h </w:instrText>
      </w:r>
      <w:r>
        <w:rPr>
          <w:rFonts w:ascii="Times New Roman" w:hAnsi="Times New Roman"/>
        </w:rPr>
        <w:fldChar w:fldCharType="separate"/>
      </w:r>
      <w:r>
        <w:rPr>
          <w:rFonts w:ascii="Times New Roman" w:hAnsi="Times New Roman"/>
        </w:rPr>
        <w:t>30</w:t>
      </w:r>
      <w:r>
        <w:rPr>
          <w:rFonts w:ascii="Times New Roman" w:hAnsi="Times New Roman"/>
        </w:rPr>
        <w:fldChar w:fldCharType="end"/>
      </w:r>
      <w:r>
        <w:rPr>
          <w:rFonts w:ascii="Times New Roman" w:hAnsi="Times New Roman"/>
        </w:rPr>
        <w:fldChar w:fldCharType="end"/>
      </w:r>
    </w:p>
    <w:p w14:paraId="2CAB19F9">
      <w:pPr>
        <w:pStyle w:val="21"/>
        <w:tabs>
          <w:tab w:val="right" w:leader="dot" w:pos="9026"/>
        </w:tabs>
        <w:rPr>
          <w:rFonts w:ascii="Times New Roman" w:hAnsi="Times New Roman"/>
        </w:rPr>
      </w:pPr>
      <w:r>
        <w:fldChar w:fldCharType="begin"/>
      </w:r>
      <w:r>
        <w:instrText xml:space="preserve"> HYPERLINK \l "_Toc25547" </w:instrText>
      </w:r>
      <w:r>
        <w:fldChar w:fldCharType="separate"/>
      </w:r>
      <w:r>
        <w:rPr>
          <w:rFonts w:ascii="Times New Roman" w:hAnsi="Times New Roman"/>
          <w:szCs w:val="24"/>
        </w:rPr>
        <w:t xml:space="preserve">Figure </w:t>
      </w:r>
      <w:r>
        <w:rPr>
          <w:rFonts w:ascii="Times New Roman" w:hAnsi="Times New Roman"/>
        </w:rPr>
        <w:t xml:space="preserve">16 </w:t>
      </w:r>
      <w:r>
        <w:rPr>
          <w:rFonts w:ascii="Times New Roman" w:hAnsi="Times New Roman"/>
          <w:szCs w:val="24"/>
        </w:rPr>
        <w:t>:  Frequency of fetching water</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_Toc25547 \h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fldChar w:fldCharType="end"/>
      </w:r>
    </w:p>
    <w:p w14:paraId="3B10431E">
      <w:pPr>
        <w:pStyle w:val="21"/>
        <w:tabs>
          <w:tab w:val="right" w:leader="dot" w:pos="9026"/>
        </w:tabs>
        <w:rPr>
          <w:rFonts w:ascii="Times New Roman" w:hAnsi="Times New Roman"/>
        </w:rPr>
      </w:pPr>
      <w:r>
        <w:fldChar w:fldCharType="begin"/>
      </w:r>
      <w:r>
        <w:instrText xml:space="preserve"> HYPERLINK \l "_Toc28236" </w:instrText>
      </w:r>
      <w:r>
        <w:fldChar w:fldCharType="separate"/>
      </w:r>
      <w:r>
        <w:rPr>
          <w:rFonts w:ascii="Times New Roman" w:hAnsi="Times New Roman"/>
          <w:szCs w:val="24"/>
        </w:rPr>
        <w:t>Figure 17</w:t>
      </w:r>
      <w:r>
        <w:rPr>
          <w:rFonts w:ascii="Times New Roman" w:hAnsi="Times New Roman"/>
        </w:rPr>
        <w:t xml:space="preserve"> </w:t>
      </w:r>
      <w:r>
        <w:rPr>
          <w:rFonts w:ascii="Times New Roman" w:hAnsi="Times New Roman"/>
          <w:szCs w:val="24"/>
        </w:rPr>
        <w:t xml:space="preserve">  :   Common Waste Disposal Methods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_Toc28236 \h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fldChar w:fldCharType="end"/>
      </w:r>
    </w:p>
    <w:p w14:paraId="79EBB1AF">
      <w:pPr>
        <w:pStyle w:val="21"/>
        <w:tabs>
          <w:tab w:val="right" w:leader="dot" w:pos="9026"/>
        </w:tabs>
        <w:rPr>
          <w:rFonts w:ascii="Times New Roman" w:hAnsi="Times New Roman"/>
        </w:rPr>
      </w:pPr>
      <w:r>
        <w:fldChar w:fldCharType="begin"/>
      </w:r>
      <w:r>
        <w:instrText xml:space="preserve"> HYPERLINK \l "_Toc25458" </w:instrText>
      </w:r>
      <w:r>
        <w:fldChar w:fldCharType="separate"/>
      </w:r>
      <w:r>
        <w:rPr>
          <w:rFonts w:ascii="Times New Roman" w:hAnsi="Times New Roman"/>
          <w:szCs w:val="24"/>
        </w:rPr>
        <w:t>Figure 18</w:t>
      </w:r>
      <w:r>
        <w:rPr>
          <w:rFonts w:ascii="Times New Roman" w:hAnsi="Times New Roman"/>
        </w:rPr>
        <w:t xml:space="preserve"> </w:t>
      </w:r>
      <w:r>
        <w:rPr>
          <w:rFonts w:ascii="Times New Roman" w:hAnsi="Times New Roman"/>
          <w:szCs w:val="24"/>
        </w:rPr>
        <w:t>:Respondents Who Have Toilets in Their Compound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_Toc25458 \h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fldChar w:fldCharType="end"/>
      </w:r>
    </w:p>
    <w:p w14:paraId="620C73F8">
      <w:pPr>
        <w:pStyle w:val="21"/>
        <w:tabs>
          <w:tab w:val="right" w:leader="dot" w:pos="9026"/>
        </w:tabs>
        <w:rPr>
          <w:rFonts w:ascii="Times New Roman" w:hAnsi="Times New Roman"/>
        </w:rPr>
      </w:pPr>
      <w:r>
        <w:fldChar w:fldCharType="begin"/>
      </w:r>
      <w:r>
        <w:instrText xml:space="preserve"> HYPERLINK \l "_Toc17895" </w:instrText>
      </w:r>
      <w:r>
        <w:fldChar w:fldCharType="separate"/>
      </w:r>
      <w:r>
        <w:rPr>
          <w:rFonts w:ascii="Times New Roman" w:hAnsi="Times New Roman"/>
          <w:szCs w:val="24"/>
        </w:rPr>
        <w:t>Figure 19</w:t>
      </w:r>
      <w:r>
        <w:rPr>
          <w:rFonts w:ascii="Times New Roman" w:hAnsi="Times New Roman"/>
        </w:rPr>
        <w:t xml:space="preserve"> </w:t>
      </w:r>
      <w:r>
        <w:rPr>
          <w:rFonts w:ascii="Times New Roman" w:hAnsi="Times New Roman"/>
          <w:szCs w:val="24"/>
        </w:rPr>
        <w:t xml:space="preserve"> :Types of Toilets Respondents Have in Their Compound</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_Toc17895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ascii="Times New Roman" w:hAnsi="Times New Roman"/>
        </w:rPr>
        <w:fldChar w:fldCharType="end"/>
      </w:r>
    </w:p>
    <w:p w14:paraId="12C9D26E">
      <w:pPr>
        <w:pStyle w:val="21"/>
        <w:tabs>
          <w:tab w:val="right" w:leader="dot" w:pos="9026"/>
        </w:tabs>
        <w:rPr>
          <w:rFonts w:ascii="Times New Roman" w:hAnsi="Times New Roman"/>
        </w:rPr>
      </w:pPr>
      <w:r>
        <w:fldChar w:fldCharType="begin"/>
      </w:r>
      <w:r>
        <w:instrText xml:space="preserve"> HYPERLINK \l "_Toc23909" </w:instrText>
      </w:r>
      <w:r>
        <w:fldChar w:fldCharType="separate"/>
      </w:r>
      <w:r>
        <w:rPr>
          <w:rFonts w:ascii="Times New Roman" w:hAnsi="Times New Roman"/>
          <w:szCs w:val="24"/>
        </w:rPr>
        <w:t xml:space="preserve">Figure </w:t>
      </w:r>
      <w:r>
        <w:rPr>
          <w:rFonts w:ascii="Times New Roman" w:hAnsi="Times New Roman"/>
        </w:rPr>
        <w:t xml:space="preserve">20 </w:t>
      </w:r>
      <w:r>
        <w:rPr>
          <w:rFonts w:ascii="Times New Roman" w:hAnsi="Times New Roman"/>
          <w:szCs w:val="24"/>
        </w:rPr>
        <w:t>:Environmental Issues of Concern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_Toc23909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ascii="Times New Roman" w:hAnsi="Times New Roman"/>
        </w:rPr>
        <w:fldChar w:fldCharType="end"/>
      </w:r>
    </w:p>
    <w:p w14:paraId="639A7790">
      <w:pPr>
        <w:pStyle w:val="21"/>
        <w:tabs>
          <w:tab w:val="right" w:leader="dot" w:pos="9026"/>
        </w:tabs>
        <w:rPr>
          <w:rFonts w:ascii="Times New Roman" w:hAnsi="Times New Roman"/>
        </w:rPr>
      </w:pPr>
      <w:r>
        <w:fldChar w:fldCharType="begin"/>
      </w:r>
      <w:r>
        <w:instrText xml:space="preserve"> HYPERLINK \l "_Toc32254" </w:instrText>
      </w:r>
      <w:r>
        <w:fldChar w:fldCharType="separate"/>
      </w:r>
      <w:r>
        <w:rPr>
          <w:rFonts w:ascii="Times New Roman" w:hAnsi="Times New Roman"/>
          <w:szCs w:val="24"/>
        </w:rPr>
        <w:t xml:space="preserve">Figure </w:t>
      </w:r>
      <w:r>
        <w:rPr>
          <w:rFonts w:ascii="Times New Roman" w:hAnsi="Times New Roman"/>
        </w:rPr>
        <w:t xml:space="preserve">21 </w:t>
      </w:r>
      <w:r>
        <w:rPr>
          <w:rFonts w:ascii="Times New Roman" w:hAnsi="Times New Roman"/>
          <w:szCs w:val="24"/>
        </w:rPr>
        <w:t xml:space="preserve">  : Environmental Conservation Initiatives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_Toc32254 \h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Fonts w:ascii="Times New Roman" w:hAnsi="Times New Roman"/>
        </w:rPr>
        <w:fldChar w:fldCharType="end"/>
      </w:r>
    </w:p>
    <w:p w14:paraId="37E9B298">
      <w:pPr>
        <w:pStyle w:val="21"/>
        <w:tabs>
          <w:tab w:val="right" w:leader="dot" w:pos="9026"/>
        </w:tabs>
        <w:rPr>
          <w:rFonts w:ascii="Times New Roman" w:hAnsi="Times New Roman"/>
        </w:rPr>
      </w:pPr>
      <w:r>
        <w:fldChar w:fldCharType="begin"/>
      </w:r>
      <w:r>
        <w:instrText xml:space="preserve"> HYPERLINK \l "_Toc32355" </w:instrText>
      </w:r>
      <w:r>
        <w:fldChar w:fldCharType="separate"/>
      </w:r>
      <w:r>
        <w:rPr>
          <w:rFonts w:ascii="Times New Roman" w:hAnsi="Times New Roman"/>
          <w:szCs w:val="24"/>
        </w:rPr>
        <w:t xml:space="preserve">Figure </w:t>
      </w:r>
      <w:r>
        <w:rPr>
          <w:rFonts w:ascii="Times New Roman" w:hAnsi="Times New Roman"/>
        </w:rPr>
        <w:t xml:space="preserve">22 </w:t>
      </w:r>
      <w:r>
        <w:rPr>
          <w:rFonts w:ascii="Times New Roman" w:hAnsi="Times New Roman"/>
          <w:szCs w:val="24"/>
        </w:rPr>
        <w:t xml:space="preserve">  : Implementers of Environmental Conservation Initiative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_Toc32355 \h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Fonts w:ascii="Times New Roman" w:hAnsi="Times New Roman"/>
        </w:rPr>
        <w:fldChar w:fldCharType="end"/>
      </w:r>
    </w:p>
    <w:p w14:paraId="1B753E8C">
      <w:pPr>
        <w:pStyle w:val="21"/>
        <w:tabs>
          <w:tab w:val="right" w:leader="dot" w:pos="9026"/>
        </w:tabs>
        <w:rPr>
          <w:rFonts w:ascii="Times New Roman" w:hAnsi="Times New Roman"/>
        </w:rPr>
      </w:pPr>
      <w:r>
        <w:fldChar w:fldCharType="begin"/>
      </w:r>
      <w:r>
        <w:instrText xml:space="preserve"> HYPERLINK \l "_Toc32128" </w:instrText>
      </w:r>
      <w:r>
        <w:fldChar w:fldCharType="separate"/>
      </w:r>
      <w:r>
        <w:rPr>
          <w:rFonts w:ascii="Times New Roman" w:hAnsi="Times New Roman"/>
          <w:szCs w:val="24"/>
        </w:rPr>
        <w:t xml:space="preserve">Figure </w:t>
      </w:r>
      <w:r>
        <w:rPr>
          <w:rFonts w:ascii="Times New Roman" w:hAnsi="Times New Roman"/>
        </w:rPr>
        <w:t xml:space="preserve">23 </w:t>
      </w:r>
      <w:r>
        <w:rPr>
          <w:rFonts w:ascii="Times New Roman" w:hAnsi="Times New Roman"/>
          <w:szCs w:val="24"/>
        </w:rPr>
        <w:t>: Will the sanitation Project help in conserving the Environment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_Toc32128 \h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rPr>
        <w:fldChar w:fldCharType="end"/>
      </w:r>
    </w:p>
    <w:p w14:paraId="7BED45B7">
      <w:pPr>
        <w:pStyle w:val="21"/>
        <w:tabs>
          <w:tab w:val="right" w:leader="dot" w:pos="9026"/>
        </w:tabs>
        <w:rPr>
          <w:rFonts w:ascii="Times New Roman" w:hAnsi="Times New Roman"/>
        </w:rPr>
      </w:pPr>
      <w:r>
        <w:fldChar w:fldCharType="begin"/>
      </w:r>
      <w:r>
        <w:instrText xml:space="preserve"> HYPERLINK \l "_Toc23023" </w:instrText>
      </w:r>
      <w:r>
        <w:fldChar w:fldCharType="separate"/>
      </w:r>
      <w:r>
        <w:rPr>
          <w:rFonts w:ascii="Times New Roman" w:hAnsi="Times New Roman"/>
          <w:szCs w:val="24"/>
        </w:rPr>
        <w:t xml:space="preserve">Figure </w:t>
      </w:r>
      <w:r>
        <w:rPr>
          <w:rFonts w:ascii="Times New Roman" w:hAnsi="Times New Roman"/>
        </w:rPr>
        <w:t xml:space="preserve">24 </w:t>
      </w:r>
      <w:r>
        <w:rPr>
          <w:rFonts w:ascii="Times New Roman" w:hAnsi="Times New Roman"/>
          <w:szCs w:val="24"/>
        </w:rPr>
        <w:t>:Public Awareness of the Intended Construction of the ablution block.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_Toc23023 \h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rPr>
        <w:fldChar w:fldCharType="end"/>
      </w:r>
    </w:p>
    <w:p w14:paraId="58987AE9">
      <w:pPr>
        <w:pStyle w:val="21"/>
        <w:tabs>
          <w:tab w:val="right" w:leader="dot" w:pos="9026"/>
        </w:tabs>
        <w:rPr>
          <w:rFonts w:ascii="Times New Roman" w:hAnsi="Times New Roman"/>
        </w:rPr>
      </w:pPr>
      <w:r>
        <w:fldChar w:fldCharType="begin"/>
      </w:r>
      <w:r>
        <w:instrText xml:space="preserve"> HYPERLINK \l "_Toc4620" </w:instrText>
      </w:r>
      <w:r>
        <w:fldChar w:fldCharType="separate"/>
      </w:r>
      <w:r>
        <w:rPr>
          <w:rFonts w:ascii="Times New Roman" w:hAnsi="Times New Roman"/>
          <w:szCs w:val="24"/>
        </w:rPr>
        <w:t xml:space="preserve">Figure </w:t>
      </w:r>
      <w:r>
        <w:rPr>
          <w:rFonts w:ascii="Times New Roman" w:hAnsi="Times New Roman"/>
        </w:rPr>
        <w:t xml:space="preserve">25 </w:t>
      </w:r>
      <w:r>
        <w:rPr>
          <w:rFonts w:ascii="Times New Roman" w:hAnsi="Times New Roman"/>
          <w:szCs w:val="24"/>
        </w:rPr>
        <w:t>: Perceived Impact of the Sanitation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_Toc4620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14:paraId="6CB0192E">
      <w:pPr>
        <w:pStyle w:val="21"/>
        <w:tabs>
          <w:tab w:val="right" w:leader="dot" w:pos="9026"/>
        </w:tabs>
        <w:rPr>
          <w:rFonts w:ascii="Times New Roman" w:hAnsi="Times New Roman"/>
        </w:rPr>
      </w:pPr>
      <w:r>
        <w:fldChar w:fldCharType="begin"/>
      </w:r>
      <w:r>
        <w:instrText xml:space="preserve"> HYPERLINK \l "_Toc14776" </w:instrText>
      </w:r>
      <w:r>
        <w:fldChar w:fldCharType="separate"/>
      </w:r>
      <w:r>
        <w:rPr>
          <w:rFonts w:ascii="Times New Roman" w:hAnsi="Times New Roman"/>
          <w:szCs w:val="24"/>
        </w:rPr>
        <w:t xml:space="preserve">Figure </w:t>
      </w:r>
      <w:r>
        <w:rPr>
          <w:rFonts w:ascii="Times New Roman" w:hAnsi="Times New Roman"/>
        </w:rPr>
        <w:t xml:space="preserve">26 </w:t>
      </w:r>
      <w:r>
        <w:rPr>
          <w:rFonts w:ascii="Times New Roman" w:hAnsi="Times New Roman"/>
          <w:szCs w:val="24"/>
        </w:rPr>
        <w:t>:Positive Impacts of the Proposed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_Toc14776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14:paraId="3AC2E010">
      <w:pPr>
        <w:pStyle w:val="21"/>
        <w:tabs>
          <w:tab w:val="right" w:leader="dot" w:pos="9026"/>
        </w:tabs>
        <w:rPr>
          <w:rFonts w:ascii="Times New Roman" w:hAnsi="Times New Roman"/>
        </w:rPr>
      </w:pPr>
      <w:r>
        <w:fldChar w:fldCharType="begin"/>
      </w:r>
      <w:r>
        <w:instrText xml:space="preserve"> HYPERLINK \l "_Toc23300" </w:instrText>
      </w:r>
      <w:r>
        <w:fldChar w:fldCharType="separate"/>
      </w:r>
      <w:r>
        <w:rPr>
          <w:rFonts w:ascii="Times New Roman" w:hAnsi="Times New Roman"/>
          <w:bCs/>
          <w:szCs w:val="24"/>
        </w:rPr>
        <w:t>Figure 27</w:t>
      </w:r>
      <w:r>
        <w:rPr>
          <w:rFonts w:ascii="Times New Roman" w:hAnsi="Times New Roman"/>
        </w:rPr>
        <w:t xml:space="preserve"> </w:t>
      </w:r>
      <w:r>
        <w:rPr>
          <w:rFonts w:ascii="Times New Roman" w:hAnsi="Times New Roman"/>
          <w:bCs/>
          <w:szCs w:val="24"/>
        </w:rPr>
        <w:t>: Sample Grievance form</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_Toc23300 \h </w:instrText>
      </w:r>
      <w:r>
        <w:rPr>
          <w:rFonts w:ascii="Times New Roman" w:hAnsi="Times New Roman"/>
        </w:rPr>
        <w:fldChar w:fldCharType="separate"/>
      </w:r>
      <w:r>
        <w:rPr>
          <w:rFonts w:ascii="Times New Roman" w:hAnsi="Times New Roman"/>
        </w:rPr>
        <w:t>88</w:t>
      </w:r>
      <w:r>
        <w:rPr>
          <w:rFonts w:ascii="Times New Roman" w:hAnsi="Times New Roman"/>
        </w:rPr>
        <w:fldChar w:fldCharType="end"/>
      </w:r>
      <w:r>
        <w:rPr>
          <w:rFonts w:ascii="Times New Roman" w:hAnsi="Times New Roman"/>
        </w:rPr>
        <w:fldChar w:fldCharType="end"/>
      </w:r>
    </w:p>
    <w:p w14:paraId="611AA472">
      <w:pPr>
        <w:pStyle w:val="21"/>
        <w:tabs>
          <w:tab w:val="right" w:leader="dot" w:pos="9026"/>
        </w:tabs>
        <w:rPr>
          <w:rFonts w:ascii="Times New Roman" w:hAnsi="Times New Roman"/>
        </w:rPr>
      </w:pPr>
      <w:r>
        <w:fldChar w:fldCharType="begin"/>
      </w:r>
      <w:r>
        <w:instrText xml:space="preserve"> HYPERLINK \l "_Toc345" </w:instrText>
      </w:r>
      <w:r>
        <w:fldChar w:fldCharType="separate"/>
      </w:r>
      <w:r>
        <w:rPr>
          <w:rFonts w:ascii="Times New Roman" w:hAnsi="Times New Roman"/>
          <w:szCs w:val="24"/>
        </w:rPr>
        <w:t>Figure 28 : Layout, elevations and a sectional view of the proposed Kimawasco Office Ablution Block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_Toc345 \h </w:instrText>
      </w:r>
      <w:r>
        <w:rPr>
          <w:rFonts w:ascii="Times New Roman" w:hAnsi="Times New Roman"/>
        </w:rPr>
        <w:fldChar w:fldCharType="separate"/>
      </w:r>
      <w:r>
        <w:rPr>
          <w:rFonts w:ascii="Times New Roman" w:hAnsi="Times New Roman"/>
        </w:rPr>
        <w:t>114</w:t>
      </w:r>
      <w:r>
        <w:rPr>
          <w:rFonts w:ascii="Times New Roman" w:hAnsi="Times New Roman"/>
        </w:rPr>
        <w:fldChar w:fldCharType="end"/>
      </w:r>
      <w:r>
        <w:rPr>
          <w:rFonts w:ascii="Times New Roman" w:hAnsi="Times New Roman"/>
        </w:rPr>
        <w:fldChar w:fldCharType="end"/>
      </w:r>
    </w:p>
    <w:p w14:paraId="56239310">
      <w:pPr>
        <w:spacing w:after="0" w:line="240" w:lineRule="auto"/>
        <w:rPr>
          <w:rFonts w:ascii="Times New Roman" w:hAnsi="Times New Roman"/>
          <w:szCs w:val="24"/>
        </w:rPr>
      </w:pPr>
      <w:r>
        <w:rPr>
          <w:rFonts w:ascii="Times New Roman" w:hAnsi="Times New Roman"/>
          <w:szCs w:val="24"/>
        </w:rPr>
        <w:fldChar w:fldCharType="end"/>
      </w:r>
    </w:p>
    <w:p w14:paraId="2DCDAB00">
      <w:pPr>
        <w:spacing w:line="240" w:lineRule="auto"/>
        <w:rPr>
          <w:rFonts w:ascii="Times New Roman" w:hAnsi="Times New Roman"/>
          <w:szCs w:val="24"/>
        </w:rPr>
      </w:pPr>
    </w:p>
    <w:p w14:paraId="4625DED7">
      <w:pPr>
        <w:spacing w:line="240" w:lineRule="auto"/>
        <w:rPr>
          <w:rFonts w:ascii="Times New Roman" w:hAnsi="Times New Roman"/>
          <w:szCs w:val="24"/>
        </w:rPr>
      </w:pPr>
    </w:p>
    <w:p w14:paraId="35E2AEA8">
      <w:pPr>
        <w:spacing w:line="240" w:lineRule="auto"/>
        <w:rPr>
          <w:rFonts w:ascii="Times New Roman" w:hAnsi="Times New Roman"/>
          <w:szCs w:val="24"/>
        </w:rPr>
      </w:pPr>
    </w:p>
    <w:p w14:paraId="5453209F">
      <w:pPr>
        <w:spacing w:line="240" w:lineRule="auto"/>
        <w:rPr>
          <w:rFonts w:ascii="Times New Roman" w:hAnsi="Times New Roman"/>
          <w:szCs w:val="24"/>
        </w:rPr>
      </w:pPr>
    </w:p>
    <w:p w14:paraId="14175971">
      <w:pPr>
        <w:spacing w:line="240" w:lineRule="auto"/>
        <w:rPr>
          <w:rFonts w:ascii="Times New Roman" w:hAnsi="Times New Roman"/>
          <w:szCs w:val="24"/>
        </w:rPr>
      </w:pPr>
    </w:p>
    <w:p w14:paraId="1BB52FCC">
      <w:pPr>
        <w:spacing w:line="240" w:lineRule="auto"/>
        <w:rPr>
          <w:rFonts w:ascii="Times New Roman" w:hAnsi="Times New Roman"/>
          <w:b/>
          <w:szCs w:val="24"/>
        </w:rPr>
      </w:pPr>
      <w:r>
        <w:rPr>
          <w:rFonts w:ascii="Times New Roman" w:hAnsi="Times New Roman"/>
          <w:b/>
          <w:szCs w:val="24"/>
        </w:rPr>
        <w:t>List of Tables</w:t>
      </w:r>
    </w:p>
    <w:p w14:paraId="3F3A78A1">
      <w:pPr>
        <w:pStyle w:val="21"/>
        <w:tabs>
          <w:tab w:val="right" w:leader="dot" w:pos="9016"/>
        </w:tabs>
        <w:rPr>
          <w:rFonts w:asciiTheme="minorHAnsi" w:hAnsiTheme="minorHAnsi" w:eastAsiaTheme="minorEastAsia" w:cstheme="minorBidi"/>
          <w:kern w:val="2"/>
          <w:szCs w:val="24"/>
          <w:lang w:val="en-US"/>
          <w14:ligatures w14:val="standardContextual"/>
        </w:rPr>
      </w:pPr>
      <w:r>
        <w:rPr>
          <w:rFonts w:ascii="Times New Roman" w:hAnsi="Times New Roman"/>
          <w:szCs w:val="24"/>
        </w:rPr>
        <w:fldChar w:fldCharType="begin"/>
      </w:r>
      <w:r>
        <w:rPr>
          <w:rFonts w:ascii="Times New Roman" w:hAnsi="Times New Roman"/>
          <w:szCs w:val="24"/>
        </w:rPr>
        <w:instrText xml:space="preserve"> TOC \h \z \c "Table" </w:instrText>
      </w:r>
      <w:r>
        <w:rPr>
          <w:rFonts w:ascii="Times New Roman" w:hAnsi="Times New Roman"/>
          <w:szCs w:val="24"/>
        </w:rPr>
        <w:fldChar w:fldCharType="separate"/>
      </w:r>
      <w:r>
        <w:fldChar w:fldCharType="begin"/>
      </w:r>
      <w:r>
        <w:instrText xml:space="preserve"> HYPERLINK \l "_Toc224740296" </w:instrText>
      </w:r>
      <w:r>
        <w:fldChar w:fldCharType="separate"/>
      </w:r>
      <w:r>
        <w:rPr>
          <w:rStyle w:val="16"/>
          <w:rFonts w:ascii="Times New Roman" w:hAnsi="Times New Roman"/>
          <w:b/>
          <w:bCs/>
        </w:rPr>
        <w:t>Table 1: Summary of the Planning, Construction and Decommissioning Phase Risks and Mitigation Measures</w:t>
      </w:r>
      <w:r>
        <w:tab/>
      </w:r>
      <w:r>
        <w:fldChar w:fldCharType="begin"/>
      </w:r>
      <w:r>
        <w:instrText xml:space="preserve"> PAGEREF _Toc224740296 \h </w:instrText>
      </w:r>
      <w:r>
        <w:fldChar w:fldCharType="separate"/>
      </w:r>
      <w:r>
        <w:t>vii</w:t>
      </w:r>
      <w:r>
        <w:fldChar w:fldCharType="end"/>
      </w:r>
      <w:r>
        <w:fldChar w:fldCharType="end"/>
      </w:r>
    </w:p>
    <w:p w14:paraId="41329FF7">
      <w:pPr>
        <w:pStyle w:val="21"/>
        <w:tabs>
          <w:tab w:val="right" w:leader="dot" w:pos="9016"/>
        </w:tabs>
        <w:rPr>
          <w:rFonts w:asciiTheme="minorHAnsi" w:hAnsiTheme="minorHAnsi" w:eastAsiaTheme="minorEastAsia" w:cstheme="minorBidi"/>
          <w:kern w:val="2"/>
          <w:szCs w:val="24"/>
          <w:lang w:val="en-US"/>
          <w14:ligatures w14:val="standardContextual"/>
        </w:rPr>
      </w:pPr>
      <w:r>
        <w:fldChar w:fldCharType="begin"/>
      </w:r>
      <w:r>
        <w:instrText xml:space="preserve"> HYPERLINK \l "_Toc224740297" </w:instrText>
      </w:r>
      <w:r>
        <w:fldChar w:fldCharType="separate"/>
      </w:r>
      <w:r>
        <w:rPr>
          <w:rStyle w:val="16"/>
          <w:b/>
          <w:bCs/>
        </w:rPr>
        <w:t>Table 2: Operation Phase Risks and Mitigation Measures (Including Social Impacts)</w:t>
      </w:r>
      <w:r>
        <w:tab/>
      </w:r>
      <w:r>
        <w:fldChar w:fldCharType="begin"/>
      </w:r>
      <w:r>
        <w:instrText xml:space="preserve"> PAGEREF _Toc224740297 \h </w:instrText>
      </w:r>
      <w:r>
        <w:fldChar w:fldCharType="separate"/>
      </w:r>
      <w:r>
        <w:t>viii</w:t>
      </w:r>
      <w:r>
        <w:fldChar w:fldCharType="end"/>
      </w:r>
      <w:r>
        <w:fldChar w:fldCharType="end"/>
      </w:r>
    </w:p>
    <w:p w14:paraId="4E2F9AA6">
      <w:pPr>
        <w:pStyle w:val="21"/>
        <w:tabs>
          <w:tab w:val="right" w:leader="dot" w:pos="9016"/>
        </w:tabs>
        <w:rPr>
          <w:rFonts w:asciiTheme="minorHAnsi" w:hAnsiTheme="minorHAnsi" w:eastAsiaTheme="minorEastAsia" w:cstheme="minorBidi"/>
          <w:kern w:val="2"/>
          <w:szCs w:val="24"/>
          <w:lang w:val="en-US"/>
          <w14:ligatures w14:val="standardContextual"/>
        </w:rPr>
      </w:pPr>
      <w:r>
        <w:fldChar w:fldCharType="begin"/>
      </w:r>
      <w:r>
        <w:instrText xml:space="preserve"> HYPERLINK \l "_Toc224740298" </w:instrText>
      </w:r>
      <w:r>
        <w:fldChar w:fldCharType="separate"/>
      </w:r>
      <w:r>
        <w:rPr>
          <w:rStyle w:val="16"/>
          <w:rFonts w:ascii="Times New Roman" w:hAnsi="Times New Roman"/>
          <w:b/>
          <w:bCs/>
        </w:rPr>
        <w:t>Table 3:Summary of the Environmental and Social Impacts and Mitigation Measures</w:t>
      </w:r>
      <w:r>
        <w:tab/>
      </w:r>
      <w:r>
        <w:fldChar w:fldCharType="begin"/>
      </w:r>
      <w:r>
        <w:instrText xml:space="preserve"> PAGEREF _Toc224740298 \h </w:instrText>
      </w:r>
      <w:r>
        <w:fldChar w:fldCharType="separate"/>
      </w:r>
      <w:r>
        <w:t>x</w:t>
      </w:r>
      <w:r>
        <w:fldChar w:fldCharType="end"/>
      </w:r>
      <w:r>
        <w:fldChar w:fldCharType="end"/>
      </w:r>
    </w:p>
    <w:p w14:paraId="134CBCEE">
      <w:pPr>
        <w:pStyle w:val="21"/>
        <w:tabs>
          <w:tab w:val="right" w:leader="dot" w:pos="9016"/>
        </w:tabs>
        <w:rPr>
          <w:rFonts w:asciiTheme="minorHAnsi" w:hAnsiTheme="minorHAnsi" w:eastAsiaTheme="minorEastAsia" w:cstheme="minorBidi"/>
          <w:kern w:val="2"/>
          <w:szCs w:val="24"/>
          <w:lang w:val="en-US"/>
          <w14:ligatures w14:val="standardContextual"/>
        </w:rPr>
      </w:pPr>
      <w:r>
        <w:fldChar w:fldCharType="begin"/>
      </w:r>
      <w:r>
        <w:instrText xml:space="preserve"> HYPERLINK \l "_Toc224740299" </w:instrText>
      </w:r>
      <w:r>
        <w:fldChar w:fldCharType="separate"/>
      </w:r>
      <w:r>
        <w:rPr>
          <w:rStyle w:val="16"/>
          <w:rFonts w:ascii="Times New Roman" w:hAnsi="Times New Roman"/>
          <w:b/>
          <w:bCs/>
        </w:rPr>
        <w:t>Table 4: Implementation Costs for Immediate Measures</w:t>
      </w:r>
      <w:r>
        <w:tab/>
      </w:r>
      <w:r>
        <w:fldChar w:fldCharType="begin"/>
      </w:r>
      <w:r>
        <w:instrText xml:space="preserve"> PAGEREF _Toc224740299 \h </w:instrText>
      </w:r>
      <w:r>
        <w:fldChar w:fldCharType="separate"/>
      </w:r>
      <w:r>
        <w:t>35</w:t>
      </w:r>
      <w:r>
        <w:fldChar w:fldCharType="end"/>
      </w:r>
      <w:r>
        <w:fldChar w:fldCharType="end"/>
      </w:r>
    </w:p>
    <w:p w14:paraId="01F8BC26">
      <w:pPr>
        <w:pStyle w:val="21"/>
        <w:tabs>
          <w:tab w:val="right" w:leader="dot" w:pos="9016"/>
        </w:tabs>
        <w:rPr>
          <w:rFonts w:asciiTheme="minorHAnsi" w:hAnsiTheme="minorHAnsi" w:eastAsiaTheme="minorEastAsia" w:cstheme="minorBidi"/>
          <w:kern w:val="2"/>
          <w:szCs w:val="24"/>
          <w:lang w:val="en-US"/>
          <w14:ligatures w14:val="standardContextual"/>
        </w:rPr>
      </w:pPr>
      <w:r>
        <w:fldChar w:fldCharType="begin"/>
      </w:r>
      <w:r>
        <w:instrText xml:space="preserve"> HYPERLINK \l "_Toc224740300" </w:instrText>
      </w:r>
      <w:r>
        <w:fldChar w:fldCharType="separate"/>
      </w:r>
      <w:r>
        <w:rPr>
          <w:rStyle w:val="16"/>
          <w:rFonts w:ascii="Times New Roman" w:hAnsi="Times New Roman"/>
        </w:rPr>
        <w:t>Table 5  : Means of Communication with Internal Stakeholders</w:t>
      </w:r>
      <w:r>
        <w:tab/>
      </w:r>
      <w:r>
        <w:fldChar w:fldCharType="begin"/>
      </w:r>
      <w:r>
        <w:instrText xml:space="preserve"> PAGEREF _Toc224740300 \h </w:instrText>
      </w:r>
      <w:r>
        <w:fldChar w:fldCharType="separate"/>
      </w:r>
      <w:r>
        <w:t>52</w:t>
      </w:r>
      <w:r>
        <w:fldChar w:fldCharType="end"/>
      </w:r>
      <w:r>
        <w:fldChar w:fldCharType="end"/>
      </w:r>
    </w:p>
    <w:p w14:paraId="3E56AE6F">
      <w:pPr>
        <w:pStyle w:val="21"/>
        <w:tabs>
          <w:tab w:val="right" w:leader="dot" w:pos="9016"/>
        </w:tabs>
        <w:rPr>
          <w:rFonts w:asciiTheme="minorHAnsi" w:hAnsiTheme="minorHAnsi" w:eastAsiaTheme="minorEastAsia" w:cstheme="minorBidi"/>
          <w:kern w:val="2"/>
          <w:szCs w:val="24"/>
          <w:lang w:val="en-US"/>
          <w14:ligatures w14:val="standardContextual"/>
        </w:rPr>
      </w:pPr>
      <w:r>
        <w:fldChar w:fldCharType="begin"/>
      </w:r>
      <w:r>
        <w:instrText xml:space="preserve"> HYPERLINK \l "_Toc224740301" </w:instrText>
      </w:r>
      <w:r>
        <w:fldChar w:fldCharType="separate"/>
      </w:r>
      <w:r>
        <w:rPr>
          <w:rStyle w:val="16"/>
          <w:rFonts w:ascii="Times New Roman" w:hAnsi="Times New Roman"/>
          <w:b/>
          <w:bCs/>
        </w:rPr>
        <w:t>Table 6:  Characterization Of Negative Impacts (Construction Phase)</w:t>
      </w:r>
      <w:r>
        <w:tab/>
      </w:r>
      <w:r>
        <w:fldChar w:fldCharType="begin"/>
      </w:r>
      <w:r>
        <w:instrText xml:space="preserve"> PAGEREF _Toc224740301 \h </w:instrText>
      </w:r>
      <w:r>
        <w:fldChar w:fldCharType="separate"/>
      </w:r>
      <w:r>
        <w:t>67</w:t>
      </w:r>
      <w:r>
        <w:fldChar w:fldCharType="end"/>
      </w:r>
      <w:r>
        <w:fldChar w:fldCharType="end"/>
      </w:r>
    </w:p>
    <w:p w14:paraId="1E6EADBF">
      <w:pPr>
        <w:pStyle w:val="21"/>
        <w:tabs>
          <w:tab w:val="right" w:leader="dot" w:pos="9016"/>
        </w:tabs>
        <w:rPr>
          <w:rFonts w:asciiTheme="minorHAnsi" w:hAnsiTheme="minorHAnsi" w:eastAsiaTheme="minorEastAsia" w:cstheme="minorBidi"/>
          <w:kern w:val="2"/>
          <w:szCs w:val="24"/>
          <w:lang w:val="en-US"/>
          <w14:ligatures w14:val="standardContextual"/>
        </w:rPr>
      </w:pPr>
      <w:r>
        <w:fldChar w:fldCharType="begin"/>
      </w:r>
      <w:r>
        <w:instrText xml:space="preserve"> HYPERLINK \l "_Toc224740302" </w:instrText>
      </w:r>
      <w:r>
        <w:fldChar w:fldCharType="separate"/>
      </w:r>
      <w:r>
        <w:rPr>
          <w:rStyle w:val="16"/>
          <w:rFonts w:ascii="Times New Roman" w:hAnsi="Times New Roman"/>
          <w:b/>
          <w:bCs/>
        </w:rPr>
        <w:t>Table 7:  Characterization of Operation Phase Impacts</w:t>
      </w:r>
      <w:r>
        <w:tab/>
      </w:r>
      <w:r>
        <w:fldChar w:fldCharType="begin"/>
      </w:r>
      <w:r>
        <w:instrText xml:space="preserve"> PAGEREF _Toc224740302 \h </w:instrText>
      </w:r>
      <w:r>
        <w:fldChar w:fldCharType="separate"/>
      </w:r>
      <w:r>
        <w:t>69</w:t>
      </w:r>
      <w:r>
        <w:fldChar w:fldCharType="end"/>
      </w:r>
      <w:r>
        <w:fldChar w:fldCharType="end"/>
      </w:r>
    </w:p>
    <w:p w14:paraId="170C4591">
      <w:pPr>
        <w:pStyle w:val="21"/>
        <w:tabs>
          <w:tab w:val="right" w:leader="dot" w:pos="9016"/>
        </w:tabs>
        <w:rPr>
          <w:rFonts w:asciiTheme="minorHAnsi" w:hAnsiTheme="minorHAnsi" w:eastAsiaTheme="minorEastAsia" w:cstheme="minorBidi"/>
          <w:kern w:val="2"/>
          <w:szCs w:val="24"/>
          <w:lang w:val="en-US"/>
          <w14:ligatures w14:val="standardContextual"/>
        </w:rPr>
      </w:pPr>
      <w:r>
        <w:fldChar w:fldCharType="begin"/>
      </w:r>
      <w:r>
        <w:instrText xml:space="preserve"> HYPERLINK \l "_Toc224740303" </w:instrText>
      </w:r>
      <w:r>
        <w:fldChar w:fldCharType="separate"/>
      </w:r>
      <w:r>
        <w:rPr>
          <w:rStyle w:val="16"/>
          <w:rFonts w:ascii="Times New Roman" w:hAnsi="Times New Roman"/>
          <w:b/>
          <w:bCs/>
        </w:rPr>
        <w:t>Table 8:  : The Proposed Environmental and Social Management Plan (ESMP)</w:t>
      </w:r>
      <w:r>
        <w:tab/>
      </w:r>
      <w:r>
        <w:fldChar w:fldCharType="begin"/>
      </w:r>
      <w:r>
        <w:instrText xml:space="preserve"> PAGEREF _Toc224740303 \h </w:instrText>
      </w:r>
      <w:r>
        <w:fldChar w:fldCharType="separate"/>
      </w:r>
      <w:r>
        <w:t>87</w:t>
      </w:r>
      <w:r>
        <w:fldChar w:fldCharType="end"/>
      </w:r>
      <w:r>
        <w:fldChar w:fldCharType="end"/>
      </w:r>
    </w:p>
    <w:p w14:paraId="4CD58299">
      <w:pPr>
        <w:pStyle w:val="21"/>
        <w:tabs>
          <w:tab w:val="right" w:leader="dot" w:pos="9016"/>
        </w:tabs>
        <w:rPr>
          <w:rFonts w:asciiTheme="minorHAnsi" w:hAnsiTheme="minorHAnsi" w:eastAsiaTheme="minorEastAsia" w:cstheme="minorBidi"/>
          <w:kern w:val="2"/>
          <w:szCs w:val="24"/>
          <w:lang w:val="en-US"/>
          <w14:ligatures w14:val="standardContextual"/>
        </w:rPr>
      </w:pPr>
      <w:r>
        <w:fldChar w:fldCharType="begin"/>
      </w:r>
      <w:r>
        <w:instrText xml:space="preserve"> HYPERLINK \l "_Toc224740304" </w:instrText>
      </w:r>
      <w:r>
        <w:fldChar w:fldCharType="separate"/>
      </w:r>
      <w:r>
        <w:rPr>
          <w:rStyle w:val="16"/>
          <w:rFonts w:ascii="Times New Roman" w:hAnsi="Times New Roman"/>
          <w:b/>
          <w:bCs/>
        </w:rPr>
        <w:t>Table 9: Proposed Environmental and Social Monitoring Plan</w:t>
      </w:r>
      <w:r>
        <w:tab/>
      </w:r>
      <w:r>
        <w:fldChar w:fldCharType="begin"/>
      </w:r>
      <w:r>
        <w:instrText xml:space="preserve"> PAGEREF _Toc224740304 \h </w:instrText>
      </w:r>
      <w:r>
        <w:fldChar w:fldCharType="separate"/>
      </w:r>
      <w:r>
        <w:t>96</w:t>
      </w:r>
      <w:r>
        <w:fldChar w:fldCharType="end"/>
      </w:r>
      <w:r>
        <w:fldChar w:fldCharType="end"/>
      </w:r>
    </w:p>
    <w:p w14:paraId="360006E4">
      <w:pPr>
        <w:pStyle w:val="21"/>
        <w:tabs>
          <w:tab w:val="right" w:leader="dot" w:pos="9016"/>
        </w:tabs>
        <w:rPr>
          <w:rFonts w:asciiTheme="minorHAnsi" w:hAnsiTheme="minorHAnsi" w:eastAsiaTheme="minorEastAsia" w:cstheme="minorBidi"/>
          <w:kern w:val="2"/>
          <w:szCs w:val="24"/>
          <w:lang w:val="en-US"/>
          <w14:ligatures w14:val="standardContextual"/>
        </w:rPr>
      </w:pPr>
      <w:r>
        <w:fldChar w:fldCharType="begin"/>
      </w:r>
      <w:r>
        <w:instrText xml:space="preserve"> HYPERLINK \l "_Toc224740305" </w:instrText>
      </w:r>
      <w:r>
        <w:fldChar w:fldCharType="separate"/>
      </w:r>
      <w:r>
        <w:rPr>
          <w:rStyle w:val="16"/>
          <w:rFonts w:ascii="Times New Roman" w:hAnsi="Times New Roman"/>
          <w:b/>
          <w:bCs/>
        </w:rPr>
        <w:t>Table 10: Institutional Framework for ESMP</w:t>
      </w:r>
      <w:r>
        <w:tab/>
      </w:r>
      <w:r>
        <w:fldChar w:fldCharType="begin"/>
      </w:r>
      <w:r>
        <w:instrText xml:space="preserve"> PAGEREF _Toc224740305 \h </w:instrText>
      </w:r>
      <w:r>
        <w:fldChar w:fldCharType="separate"/>
      </w:r>
      <w:r>
        <w:t>104</w:t>
      </w:r>
      <w:r>
        <w:fldChar w:fldCharType="end"/>
      </w:r>
      <w:r>
        <w:fldChar w:fldCharType="end"/>
      </w:r>
    </w:p>
    <w:p w14:paraId="31E544E9">
      <w:pPr>
        <w:spacing w:line="240" w:lineRule="auto"/>
        <w:rPr>
          <w:rFonts w:ascii="Times New Roman" w:hAnsi="Times New Roman"/>
          <w:szCs w:val="24"/>
        </w:rPr>
      </w:pPr>
      <w:r>
        <w:rPr>
          <w:rFonts w:ascii="Times New Roman" w:hAnsi="Times New Roman"/>
          <w:szCs w:val="24"/>
        </w:rPr>
        <w:fldChar w:fldCharType="end"/>
      </w:r>
      <w:r>
        <w:rPr>
          <w:rFonts w:ascii="Times New Roman" w:hAnsi="Times New Roman"/>
          <w:szCs w:val="24"/>
        </w:rPr>
        <w:br w:type="page"/>
      </w:r>
    </w:p>
    <w:p w14:paraId="43915B09">
      <w:pPr>
        <w:spacing w:line="240" w:lineRule="auto"/>
        <w:jc w:val="center"/>
        <w:rPr>
          <w:rFonts w:ascii="Times New Roman" w:hAnsi="Times New Roman"/>
          <w:b/>
          <w:szCs w:val="24"/>
          <w:u w:val="single"/>
        </w:rPr>
      </w:pPr>
      <w:r>
        <w:rPr>
          <w:rFonts w:ascii="Times New Roman" w:hAnsi="Times New Roman"/>
          <w:b/>
          <w:szCs w:val="24"/>
          <w:u w:val="single"/>
        </w:rPr>
        <w:t>ACRONYMS AND ABBREVIATIONS</w:t>
      </w:r>
    </w:p>
    <w:tbl>
      <w:tblPr>
        <w:tblStyle w:val="7"/>
        <w:tblW w:w="8815" w:type="dxa"/>
        <w:tblInd w:w="0" w:type="dxa"/>
        <w:tblLayout w:type="fixed"/>
        <w:tblCellMar>
          <w:top w:w="0" w:type="dxa"/>
          <w:left w:w="108" w:type="dxa"/>
          <w:bottom w:w="0" w:type="dxa"/>
          <w:right w:w="108" w:type="dxa"/>
        </w:tblCellMar>
      </w:tblPr>
      <w:tblGrid>
        <w:gridCol w:w="1680"/>
        <w:gridCol w:w="7135"/>
      </w:tblGrid>
      <w:tr w14:paraId="5C325655">
        <w:tblPrEx>
          <w:tblCellMar>
            <w:top w:w="0" w:type="dxa"/>
            <w:left w:w="108" w:type="dxa"/>
            <w:bottom w:w="0" w:type="dxa"/>
            <w:right w:w="108" w:type="dxa"/>
          </w:tblCellMar>
        </w:tblPrEx>
        <w:trPr>
          <w:trHeight w:val="300" w:hRule="atLeast"/>
        </w:trPr>
        <w:tc>
          <w:tcPr>
            <w:tcW w:w="1680" w:type="dxa"/>
            <w:vAlign w:val="bottom"/>
          </w:tcPr>
          <w:p w14:paraId="3A5E518B">
            <w:pPr>
              <w:spacing w:after="0" w:line="240" w:lineRule="auto"/>
              <w:rPr>
                <w:rFonts w:ascii="Times New Roman" w:hAnsi="Times New Roman" w:eastAsia="Times New Roman"/>
                <w:szCs w:val="24"/>
                <w:lang w:val="en-US"/>
              </w:rPr>
            </w:pPr>
            <w:r>
              <w:rPr>
                <w:rFonts w:ascii="Times New Roman" w:hAnsi="Times New Roman" w:eastAsia="Times New Roman"/>
                <w:szCs w:val="24"/>
              </w:rPr>
              <w:t>AB</w:t>
            </w:r>
          </w:p>
        </w:tc>
        <w:tc>
          <w:tcPr>
            <w:tcW w:w="7135" w:type="dxa"/>
            <w:vAlign w:val="bottom"/>
          </w:tcPr>
          <w:p w14:paraId="4F6B2334">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Ablution Block</w:t>
            </w:r>
          </w:p>
        </w:tc>
      </w:tr>
      <w:tr w14:paraId="6C7D8FA7">
        <w:tblPrEx>
          <w:tblCellMar>
            <w:top w:w="0" w:type="dxa"/>
            <w:left w:w="108" w:type="dxa"/>
            <w:bottom w:w="0" w:type="dxa"/>
            <w:right w:w="108" w:type="dxa"/>
          </w:tblCellMar>
        </w:tblPrEx>
        <w:trPr>
          <w:trHeight w:val="300" w:hRule="atLeast"/>
        </w:trPr>
        <w:tc>
          <w:tcPr>
            <w:tcW w:w="1680" w:type="dxa"/>
            <w:vAlign w:val="bottom"/>
          </w:tcPr>
          <w:p w14:paraId="1226EFEC">
            <w:pPr>
              <w:spacing w:after="0" w:line="240" w:lineRule="auto"/>
              <w:rPr>
                <w:rFonts w:ascii="Times New Roman" w:hAnsi="Times New Roman" w:eastAsia="Times New Roman"/>
                <w:szCs w:val="24"/>
                <w:lang w:val="en-US"/>
              </w:rPr>
            </w:pPr>
            <w:r>
              <w:rPr>
                <w:rFonts w:ascii="Times New Roman" w:hAnsi="Times New Roman" w:eastAsia="Times New Roman"/>
                <w:szCs w:val="24"/>
              </w:rPr>
              <w:t>AIDS</w:t>
            </w:r>
          </w:p>
        </w:tc>
        <w:tc>
          <w:tcPr>
            <w:tcW w:w="7135" w:type="dxa"/>
            <w:vAlign w:val="bottom"/>
          </w:tcPr>
          <w:p w14:paraId="7ACED991">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Acquired Immunodeficiency Syndrome</w:t>
            </w:r>
          </w:p>
        </w:tc>
      </w:tr>
      <w:tr w14:paraId="2599C242">
        <w:tblPrEx>
          <w:tblCellMar>
            <w:top w:w="0" w:type="dxa"/>
            <w:left w:w="108" w:type="dxa"/>
            <w:bottom w:w="0" w:type="dxa"/>
            <w:right w:w="108" w:type="dxa"/>
          </w:tblCellMar>
        </w:tblPrEx>
        <w:trPr>
          <w:trHeight w:val="300" w:hRule="atLeast"/>
        </w:trPr>
        <w:tc>
          <w:tcPr>
            <w:tcW w:w="1680" w:type="dxa"/>
            <w:vAlign w:val="bottom"/>
          </w:tcPr>
          <w:p w14:paraId="27FCDCCD">
            <w:pPr>
              <w:spacing w:after="0" w:line="240" w:lineRule="auto"/>
              <w:rPr>
                <w:rFonts w:ascii="Times New Roman" w:hAnsi="Times New Roman" w:eastAsia="Times New Roman"/>
                <w:szCs w:val="24"/>
                <w:lang w:val="en-US"/>
              </w:rPr>
            </w:pPr>
            <w:r>
              <w:rPr>
                <w:rFonts w:ascii="Times New Roman" w:hAnsi="Times New Roman" w:eastAsia="Times New Roman"/>
                <w:szCs w:val="24"/>
              </w:rPr>
              <w:t>CBO</w:t>
            </w:r>
          </w:p>
        </w:tc>
        <w:tc>
          <w:tcPr>
            <w:tcW w:w="7135" w:type="dxa"/>
            <w:vAlign w:val="bottom"/>
          </w:tcPr>
          <w:p w14:paraId="2AAF63F0">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Community Based Organization</w:t>
            </w:r>
          </w:p>
        </w:tc>
      </w:tr>
      <w:tr w14:paraId="6A447C1F">
        <w:tblPrEx>
          <w:tblCellMar>
            <w:top w:w="0" w:type="dxa"/>
            <w:left w:w="108" w:type="dxa"/>
            <w:bottom w:w="0" w:type="dxa"/>
            <w:right w:w="108" w:type="dxa"/>
          </w:tblCellMar>
        </w:tblPrEx>
        <w:trPr>
          <w:trHeight w:val="300" w:hRule="atLeast"/>
        </w:trPr>
        <w:tc>
          <w:tcPr>
            <w:tcW w:w="1680" w:type="dxa"/>
            <w:vAlign w:val="bottom"/>
          </w:tcPr>
          <w:p w14:paraId="16BE302D">
            <w:pPr>
              <w:spacing w:after="0" w:line="240" w:lineRule="auto"/>
              <w:rPr>
                <w:rFonts w:ascii="Times New Roman" w:hAnsi="Times New Roman" w:eastAsia="Times New Roman"/>
                <w:szCs w:val="24"/>
                <w:lang w:val="en-US"/>
              </w:rPr>
            </w:pPr>
            <w:r>
              <w:rPr>
                <w:rFonts w:ascii="Times New Roman" w:hAnsi="Times New Roman" w:eastAsia="Times New Roman"/>
                <w:szCs w:val="24"/>
              </w:rPr>
              <w:t>CLO</w:t>
            </w:r>
          </w:p>
        </w:tc>
        <w:tc>
          <w:tcPr>
            <w:tcW w:w="7135" w:type="dxa"/>
            <w:vAlign w:val="bottom"/>
          </w:tcPr>
          <w:p w14:paraId="194AEBCB">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Community Liaison Officer</w:t>
            </w:r>
          </w:p>
        </w:tc>
      </w:tr>
      <w:tr w14:paraId="44C27509">
        <w:tblPrEx>
          <w:tblCellMar>
            <w:top w:w="0" w:type="dxa"/>
            <w:left w:w="108" w:type="dxa"/>
            <w:bottom w:w="0" w:type="dxa"/>
            <w:right w:w="108" w:type="dxa"/>
          </w:tblCellMar>
        </w:tblPrEx>
        <w:trPr>
          <w:trHeight w:val="300" w:hRule="atLeast"/>
        </w:trPr>
        <w:tc>
          <w:tcPr>
            <w:tcW w:w="1680" w:type="dxa"/>
            <w:vAlign w:val="bottom"/>
          </w:tcPr>
          <w:p w14:paraId="605AA600">
            <w:pPr>
              <w:spacing w:after="0" w:line="240" w:lineRule="auto"/>
              <w:rPr>
                <w:rFonts w:ascii="Times New Roman" w:hAnsi="Times New Roman" w:eastAsia="Times New Roman"/>
                <w:szCs w:val="24"/>
                <w:lang w:val="en-US"/>
              </w:rPr>
            </w:pPr>
            <w:r>
              <w:rPr>
                <w:rFonts w:ascii="Times New Roman" w:hAnsi="Times New Roman" w:eastAsia="Times New Roman"/>
                <w:szCs w:val="24"/>
              </w:rPr>
              <w:t>EIA</w:t>
            </w:r>
          </w:p>
        </w:tc>
        <w:tc>
          <w:tcPr>
            <w:tcW w:w="7135" w:type="dxa"/>
            <w:vAlign w:val="bottom"/>
          </w:tcPr>
          <w:p w14:paraId="109F27B1">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Environmental Impact Assessment</w:t>
            </w:r>
          </w:p>
        </w:tc>
      </w:tr>
      <w:tr w14:paraId="3C69A7A3">
        <w:tblPrEx>
          <w:tblCellMar>
            <w:top w:w="0" w:type="dxa"/>
            <w:left w:w="108" w:type="dxa"/>
            <w:bottom w:w="0" w:type="dxa"/>
            <w:right w:w="108" w:type="dxa"/>
          </w:tblCellMar>
        </w:tblPrEx>
        <w:trPr>
          <w:trHeight w:val="300" w:hRule="atLeast"/>
        </w:trPr>
        <w:tc>
          <w:tcPr>
            <w:tcW w:w="1680" w:type="dxa"/>
            <w:vAlign w:val="bottom"/>
          </w:tcPr>
          <w:p w14:paraId="7310BBE6">
            <w:pPr>
              <w:spacing w:after="0" w:line="240" w:lineRule="auto"/>
              <w:rPr>
                <w:rFonts w:ascii="Times New Roman" w:hAnsi="Times New Roman" w:eastAsia="Times New Roman"/>
                <w:szCs w:val="24"/>
                <w:lang w:val="en-US"/>
              </w:rPr>
            </w:pPr>
            <w:r>
              <w:rPr>
                <w:rFonts w:ascii="Times New Roman" w:hAnsi="Times New Roman" w:eastAsia="Times New Roman"/>
                <w:szCs w:val="24"/>
              </w:rPr>
              <w:t>EMCA</w:t>
            </w:r>
          </w:p>
        </w:tc>
        <w:tc>
          <w:tcPr>
            <w:tcW w:w="7135" w:type="dxa"/>
            <w:vAlign w:val="bottom"/>
          </w:tcPr>
          <w:p w14:paraId="64055A64">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Environment Management Coordination Act</w:t>
            </w:r>
          </w:p>
        </w:tc>
      </w:tr>
      <w:tr w14:paraId="1F43119B">
        <w:tblPrEx>
          <w:tblCellMar>
            <w:top w:w="0" w:type="dxa"/>
            <w:left w:w="108" w:type="dxa"/>
            <w:bottom w:w="0" w:type="dxa"/>
            <w:right w:w="108" w:type="dxa"/>
          </w:tblCellMar>
        </w:tblPrEx>
        <w:trPr>
          <w:trHeight w:val="300" w:hRule="atLeast"/>
        </w:trPr>
        <w:tc>
          <w:tcPr>
            <w:tcW w:w="1680" w:type="dxa"/>
            <w:vAlign w:val="bottom"/>
          </w:tcPr>
          <w:p w14:paraId="3C50F4FA">
            <w:pPr>
              <w:spacing w:after="0" w:line="240" w:lineRule="auto"/>
              <w:rPr>
                <w:rFonts w:ascii="Times New Roman" w:hAnsi="Times New Roman" w:eastAsia="Times New Roman"/>
                <w:szCs w:val="24"/>
                <w:lang w:val="en-US"/>
              </w:rPr>
            </w:pPr>
            <w:r>
              <w:rPr>
                <w:rFonts w:ascii="Times New Roman" w:hAnsi="Times New Roman" w:eastAsia="Times New Roman"/>
                <w:szCs w:val="24"/>
              </w:rPr>
              <w:t>ESIA</w:t>
            </w:r>
          </w:p>
        </w:tc>
        <w:tc>
          <w:tcPr>
            <w:tcW w:w="7135" w:type="dxa"/>
            <w:vAlign w:val="bottom"/>
          </w:tcPr>
          <w:p w14:paraId="08D2EFB8">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Environmental And Social Impact Assessment</w:t>
            </w:r>
          </w:p>
        </w:tc>
      </w:tr>
      <w:tr w14:paraId="41268578">
        <w:tblPrEx>
          <w:tblCellMar>
            <w:top w:w="0" w:type="dxa"/>
            <w:left w:w="108" w:type="dxa"/>
            <w:bottom w:w="0" w:type="dxa"/>
            <w:right w:w="108" w:type="dxa"/>
          </w:tblCellMar>
        </w:tblPrEx>
        <w:trPr>
          <w:trHeight w:val="300" w:hRule="atLeast"/>
        </w:trPr>
        <w:tc>
          <w:tcPr>
            <w:tcW w:w="1680" w:type="dxa"/>
            <w:vAlign w:val="bottom"/>
          </w:tcPr>
          <w:p w14:paraId="6B071DC7">
            <w:pPr>
              <w:spacing w:after="0" w:line="240" w:lineRule="auto"/>
              <w:rPr>
                <w:rFonts w:ascii="Times New Roman" w:hAnsi="Times New Roman" w:eastAsia="Times New Roman"/>
                <w:szCs w:val="24"/>
                <w:lang w:val="en-US"/>
              </w:rPr>
            </w:pPr>
            <w:r>
              <w:rPr>
                <w:rFonts w:ascii="Times New Roman" w:hAnsi="Times New Roman" w:eastAsia="Times New Roman"/>
                <w:szCs w:val="24"/>
              </w:rPr>
              <w:t>ESMP</w:t>
            </w:r>
          </w:p>
        </w:tc>
        <w:tc>
          <w:tcPr>
            <w:tcW w:w="7135" w:type="dxa"/>
            <w:vAlign w:val="bottom"/>
          </w:tcPr>
          <w:p w14:paraId="0B0E5D86">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Environmental And Social Management Plan</w:t>
            </w:r>
          </w:p>
        </w:tc>
      </w:tr>
      <w:tr w14:paraId="3ECC71D3">
        <w:tblPrEx>
          <w:tblCellMar>
            <w:top w:w="0" w:type="dxa"/>
            <w:left w:w="108" w:type="dxa"/>
            <w:bottom w:w="0" w:type="dxa"/>
            <w:right w:w="108" w:type="dxa"/>
          </w:tblCellMar>
        </w:tblPrEx>
        <w:trPr>
          <w:trHeight w:val="300" w:hRule="atLeast"/>
        </w:trPr>
        <w:tc>
          <w:tcPr>
            <w:tcW w:w="1680" w:type="dxa"/>
            <w:vAlign w:val="bottom"/>
          </w:tcPr>
          <w:p w14:paraId="7DDB1160">
            <w:pPr>
              <w:spacing w:after="0" w:line="240" w:lineRule="auto"/>
              <w:rPr>
                <w:rFonts w:ascii="Times New Roman" w:hAnsi="Times New Roman" w:eastAsia="Times New Roman"/>
                <w:szCs w:val="24"/>
                <w:lang w:val="en-US"/>
              </w:rPr>
            </w:pPr>
            <w:r>
              <w:rPr>
                <w:rFonts w:ascii="Times New Roman" w:hAnsi="Times New Roman" w:eastAsia="Times New Roman"/>
                <w:szCs w:val="24"/>
              </w:rPr>
              <w:t>GHG</w:t>
            </w:r>
          </w:p>
        </w:tc>
        <w:tc>
          <w:tcPr>
            <w:tcW w:w="7135" w:type="dxa"/>
            <w:vAlign w:val="bottom"/>
          </w:tcPr>
          <w:p w14:paraId="58368656">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Greenhouse Gases</w:t>
            </w:r>
          </w:p>
        </w:tc>
      </w:tr>
      <w:tr w14:paraId="2AF6ED43">
        <w:tblPrEx>
          <w:tblCellMar>
            <w:top w:w="0" w:type="dxa"/>
            <w:left w:w="108" w:type="dxa"/>
            <w:bottom w:w="0" w:type="dxa"/>
            <w:right w:w="108" w:type="dxa"/>
          </w:tblCellMar>
        </w:tblPrEx>
        <w:trPr>
          <w:trHeight w:val="300" w:hRule="atLeast"/>
        </w:trPr>
        <w:tc>
          <w:tcPr>
            <w:tcW w:w="1680" w:type="dxa"/>
            <w:vAlign w:val="bottom"/>
          </w:tcPr>
          <w:p w14:paraId="44378AA9">
            <w:pPr>
              <w:spacing w:after="0" w:line="240" w:lineRule="auto"/>
              <w:rPr>
                <w:rFonts w:ascii="Times New Roman" w:hAnsi="Times New Roman" w:eastAsia="Times New Roman"/>
                <w:szCs w:val="24"/>
                <w:lang w:val="en-US"/>
              </w:rPr>
            </w:pPr>
            <w:r>
              <w:rPr>
                <w:rFonts w:ascii="Times New Roman" w:hAnsi="Times New Roman" w:eastAsia="Times New Roman"/>
                <w:szCs w:val="24"/>
              </w:rPr>
              <w:t xml:space="preserve">GIS </w:t>
            </w:r>
          </w:p>
        </w:tc>
        <w:tc>
          <w:tcPr>
            <w:tcW w:w="7135" w:type="dxa"/>
            <w:vAlign w:val="bottom"/>
          </w:tcPr>
          <w:p w14:paraId="21CF5B86">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Geographical Information System</w:t>
            </w:r>
          </w:p>
        </w:tc>
      </w:tr>
      <w:tr w14:paraId="07FF1B34">
        <w:tblPrEx>
          <w:tblCellMar>
            <w:top w:w="0" w:type="dxa"/>
            <w:left w:w="108" w:type="dxa"/>
            <w:bottom w:w="0" w:type="dxa"/>
            <w:right w:w="108" w:type="dxa"/>
          </w:tblCellMar>
        </w:tblPrEx>
        <w:trPr>
          <w:trHeight w:val="300" w:hRule="atLeast"/>
        </w:trPr>
        <w:tc>
          <w:tcPr>
            <w:tcW w:w="1680" w:type="dxa"/>
            <w:vAlign w:val="bottom"/>
          </w:tcPr>
          <w:p w14:paraId="5DF8E50D">
            <w:pPr>
              <w:spacing w:after="0" w:line="240" w:lineRule="auto"/>
              <w:rPr>
                <w:rFonts w:ascii="Times New Roman" w:hAnsi="Times New Roman" w:eastAsia="Times New Roman"/>
                <w:szCs w:val="24"/>
                <w:lang w:val="en-US"/>
              </w:rPr>
            </w:pPr>
            <w:r>
              <w:rPr>
                <w:rFonts w:ascii="Times New Roman" w:hAnsi="Times New Roman" w:eastAsia="Times New Roman"/>
                <w:szCs w:val="24"/>
              </w:rPr>
              <w:t>GOK</w:t>
            </w:r>
          </w:p>
        </w:tc>
        <w:tc>
          <w:tcPr>
            <w:tcW w:w="7135" w:type="dxa"/>
            <w:vAlign w:val="bottom"/>
          </w:tcPr>
          <w:p w14:paraId="30780907">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Government Of Kenya</w:t>
            </w:r>
          </w:p>
        </w:tc>
      </w:tr>
      <w:tr w14:paraId="696FF8B7">
        <w:tblPrEx>
          <w:tblCellMar>
            <w:top w:w="0" w:type="dxa"/>
            <w:left w:w="108" w:type="dxa"/>
            <w:bottom w:w="0" w:type="dxa"/>
            <w:right w:w="108" w:type="dxa"/>
          </w:tblCellMar>
        </w:tblPrEx>
        <w:trPr>
          <w:trHeight w:val="300" w:hRule="atLeast"/>
        </w:trPr>
        <w:tc>
          <w:tcPr>
            <w:tcW w:w="1680" w:type="dxa"/>
            <w:vAlign w:val="bottom"/>
          </w:tcPr>
          <w:p w14:paraId="60C33C35">
            <w:pPr>
              <w:spacing w:after="0" w:line="240" w:lineRule="auto"/>
              <w:rPr>
                <w:rFonts w:ascii="Times New Roman" w:hAnsi="Times New Roman" w:eastAsia="Times New Roman"/>
                <w:szCs w:val="24"/>
                <w:lang w:val="en-US"/>
              </w:rPr>
            </w:pPr>
            <w:r>
              <w:rPr>
                <w:rFonts w:ascii="Times New Roman" w:hAnsi="Times New Roman" w:eastAsia="Times New Roman"/>
                <w:szCs w:val="24"/>
              </w:rPr>
              <w:t xml:space="preserve">GPS </w:t>
            </w:r>
          </w:p>
        </w:tc>
        <w:tc>
          <w:tcPr>
            <w:tcW w:w="7135" w:type="dxa"/>
            <w:vAlign w:val="bottom"/>
          </w:tcPr>
          <w:p w14:paraId="3CE99E70">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 xml:space="preserve">Global Positioning System </w:t>
            </w:r>
          </w:p>
        </w:tc>
      </w:tr>
      <w:tr w14:paraId="0F65C375">
        <w:tblPrEx>
          <w:tblCellMar>
            <w:top w:w="0" w:type="dxa"/>
            <w:left w:w="108" w:type="dxa"/>
            <w:bottom w:w="0" w:type="dxa"/>
            <w:right w:w="108" w:type="dxa"/>
          </w:tblCellMar>
        </w:tblPrEx>
        <w:trPr>
          <w:trHeight w:val="300" w:hRule="atLeast"/>
        </w:trPr>
        <w:tc>
          <w:tcPr>
            <w:tcW w:w="1680" w:type="dxa"/>
            <w:vAlign w:val="bottom"/>
          </w:tcPr>
          <w:p w14:paraId="07A57002">
            <w:pPr>
              <w:spacing w:after="0" w:line="240" w:lineRule="auto"/>
              <w:rPr>
                <w:rFonts w:ascii="Times New Roman" w:hAnsi="Times New Roman" w:eastAsia="Times New Roman"/>
                <w:szCs w:val="24"/>
                <w:lang w:val="en-US"/>
              </w:rPr>
            </w:pPr>
            <w:r>
              <w:rPr>
                <w:rFonts w:ascii="Times New Roman" w:hAnsi="Times New Roman" w:eastAsia="Times New Roman"/>
                <w:szCs w:val="24"/>
              </w:rPr>
              <w:t>HASP</w:t>
            </w:r>
          </w:p>
        </w:tc>
        <w:tc>
          <w:tcPr>
            <w:tcW w:w="7135" w:type="dxa"/>
            <w:vAlign w:val="bottom"/>
          </w:tcPr>
          <w:p w14:paraId="70C6A2F0">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Health And Safety Plan</w:t>
            </w:r>
          </w:p>
        </w:tc>
      </w:tr>
      <w:tr w14:paraId="7D0096BA">
        <w:tblPrEx>
          <w:tblCellMar>
            <w:top w:w="0" w:type="dxa"/>
            <w:left w:w="108" w:type="dxa"/>
            <w:bottom w:w="0" w:type="dxa"/>
            <w:right w:w="108" w:type="dxa"/>
          </w:tblCellMar>
        </w:tblPrEx>
        <w:trPr>
          <w:trHeight w:val="300" w:hRule="atLeast"/>
        </w:trPr>
        <w:tc>
          <w:tcPr>
            <w:tcW w:w="1680" w:type="dxa"/>
            <w:vAlign w:val="bottom"/>
          </w:tcPr>
          <w:p w14:paraId="4E081321">
            <w:pPr>
              <w:spacing w:after="0" w:line="240" w:lineRule="auto"/>
              <w:rPr>
                <w:rFonts w:ascii="Times New Roman" w:hAnsi="Times New Roman" w:eastAsia="Times New Roman"/>
                <w:szCs w:val="24"/>
                <w:lang w:val="en-US"/>
              </w:rPr>
            </w:pPr>
            <w:r>
              <w:rPr>
                <w:rFonts w:ascii="Times New Roman" w:hAnsi="Times New Roman" w:eastAsia="Times New Roman"/>
                <w:szCs w:val="24"/>
              </w:rPr>
              <w:t>HIV</w:t>
            </w:r>
          </w:p>
        </w:tc>
        <w:tc>
          <w:tcPr>
            <w:tcW w:w="7135" w:type="dxa"/>
            <w:vAlign w:val="bottom"/>
          </w:tcPr>
          <w:p w14:paraId="26D2B899">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Human Immunodeficiency Virus</w:t>
            </w:r>
          </w:p>
        </w:tc>
      </w:tr>
      <w:tr w14:paraId="3B3220EE">
        <w:tblPrEx>
          <w:tblCellMar>
            <w:top w:w="0" w:type="dxa"/>
            <w:left w:w="108" w:type="dxa"/>
            <w:bottom w:w="0" w:type="dxa"/>
            <w:right w:w="108" w:type="dxa"/>
          </w:tblCellMar>
        </w:tblPrEx>
        <w:trPr>
          <w:trHeight w:val="300" w:hRule="atLeast"/>
        </w:trPr>
        <w:tc>
          <w:tcPr>
            <w:tcW w:w="1680" w:type="dxa"/>
            <w:vAlign w:val="bottom"/>
          </w:tcPr>
          <w:p w14:paraId="1AA352E9">
            <w:pPr>
              <w:spacing w:after="0" w:line="240" w:lineRule="auto"/>
              <w:rPr>
                <w:rFonts w:ascii="Times New Roman" w:hAnsi="Times New Roman" w:eastAsia="Times New Roman"/>
                <w:szCs w:val="24"/>
                <w:lang w:val="en-US"/>
              </w:rPr>
            </w:pPr>
            <w:r>
              <w:rPr>
                <w:rFonts w:ascii="Times New Roman" w:hAnsi="Times New Roman" w:eastAsia="Times New Roman"/>
                <w:szCs w:val="24"/>
              </w:rPr>
              <w:t>HMP</w:t>
            </w:r>
          </w:p>
        </w:tc>
        <w:tc>
          <w:tcPr>
            <w:tcW w:w="7135" w:type="dxa"/>
            <w:vAlign w:val="bottom"/>
          </w:tcPr>
          <w:p w14:paraId="06B07982">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Health Management Plan</w:t>
            </w:r>
          </w:p>
        </w:tc>
      </w:tr>
      <w:tr w14:paraId="0D60F69E">
        <w:tblPrEx>
          <w:tblCellMar>
            <w:top w:w="0" w:type="dxa"/>
            <w:left w:w="108" w:type="dxa"/>
            <w:bottom w:w="0" w:type="dxa"/>
            <w:right w:w="108" w:type="dxa"/>
          </w:tblCellMar>
        </w:tblPrEx>
        <w:trPr>
          <w:trHeight w:val="300" w:hRule="atLeast"/>
        </w:trPr>
        <w:tc>
          <w:tcPr>
            <w:tcW w:w="1680" w:type="dxa"/>
            <w:vAlign w:val="bottom"/>
          </w:tcPr>
          <w:p w14:paraId="0D2626DA">
            <w:pPr>
              <w:spacing w:after="0" w:line="240" w:lineRule="auto"/>
              <w:rPr>
                <w:rFonts w:ascii="Times New Roman" w:hAnsi="Times New Roman" w:eastAsia="Times New Roman"/>
                <w:szCs w:val="24"/>
                <w:lang w:val="en-US"/>
              </w:rPr>
            </w:pPr>
            <w:r>
              <w:rPr>
                <w:rFonts w:ascii="Times New Roman" w:hAnsi="Times New Roman" w:eastAsia="Times New Roman"/>
                <w:szCs w:val="24"/>
              </w:rPr>
              <w:t>ID NO.</w:t>
            </w:r>
          </w:p>
        </w:tc>
        <w:tc>
          <w:tcPr>
            <w:tcW w:w="7135" w:type="dxa"/>
            <w:vAlign w:val="bottom"/>
          </w:tcPr>
          <w:p w14:paraId="0BAD2B40">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Identity Card Number</w:t>
            </w:r>
          </w:p>
        </w:tc>
      </w:tr>
      <w:tr w14:paraId="633EFF1B">
        <w:tblPrEx>
          <w:tblCellMar>
            <w:top w:w="0" w:type="dxa"/>
            <w:left w:w="108" w:type="dxa"/>
            <w:bottom w:w="0" w:type="dxa"/>
            <w:right w:w="108" w:type="dxa"/>
          </w:tblCellMar>
        </w:tblPrEx>
        <w:trPr>
          <w:trHeight w:val="300" w:hRule="atLeast"/>
        </w:trPr>
        <w:tc>
          <w:tcPr>
            <w:tcW w:w="1680" w:type="dxa"/>
            <w:vAlign w:val="bottom"/>
          </w:tcPr>
          <w:p w14:paraId="5BE1BFFF">
            <w:pPr>
              <w:spacing w:after="0" w:line="240" w:lineRule="auto"/>
              <w:rPr>
                <w:rFonts w:ascii="Times New Roman" w:hAnsi="Times New Roman" w:eastAsia="Times New Roman"/>
                <w:szCs w:val="24"/>
                <w:lang w:val="en-US"/>
              </w:rPr>
            </w:pPr>
            <w:r>
              <w:rPr>
                <w:rFonts w:ascii="Times New Roman" w:hAnsi="Times New Roman" w:eastAsia="Times New Roman"/>
                <w:szCs w:val="24"/>
              </w:rPr>
              <w:t>IDA</w:t>
            </w:r>
          </w:p>
        </w:tc>
        <w:tc>
          <w:tcPr>
            <w:tcW w:w="7135" w:type="dxa"/>
            <w:vAlign w:val="bottom"/>
          </w:tcPr>
          <w:p w14:paraId="7E8F871A">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 xml:space="preserve">International Development Association </w:t>
            </w:r>
          </w:p>
        </w:tc>
      </w:tr>
      <w:tr w14:paraId="0FC415FB">
        <w:tblPrEx>
          <w:tblCellMar>
            <w:top w:w="0" w:type="dxa"/>
            <w:left w:w="108" w:type="dxa"/>
            <w:bottom w:w="0" w:type="dxa"/>
            <w:right w:w="108" w:type="dxa"/>
          </w:tblCellMar>
        </w:tblPrEx>
        <w:trPr>
          <w:trHeight w:val="300" w:hRule="atLeast"/>
        </w:trPr>
        <w:tc>
          <w:tcPr>
            <w:tcW w:w="1680" w:type="dxa"/>
            <w:vAlign w:val="bottom"/>
          </w:tcPr>
          <w:p w14:paraId="02CDA905">
            <w:pPr>
              <w:spacing w:after="0" w:line="240" w:lineRule="auto"/>
              <w:rPr>
                <w:rFonts w:ascii="Times New Roman" w:hAnsi="Times New Roman" w:eastAsia="Times New Roman"/>
                <w:szCs w:val="24"/>
                <w:lang w:val="en-US"/>
              </w:rPr>
            </w:pPr>
            <w:r>
              <w:rPr>
                <w:rFonts w:ascii="Times New Roman" w:hAnsi="Times New Roman" w:eastAsia="Times New Roman"/>
                <w:szCs w:val="24"/>
              </w:rPr>
              <w:t>K.SHS.</w:t>
            </w:r>
          </w:p>
        </w:tc>
        <w:tc>
          <w:tcPr>
            <w:tcW w:w="7135" w:type="dxa"/>
            <w:vAlign w:val="bottom"/>
          </w:tcPr>
          <w:p w14:paraId="26D9E21C">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Kenya Shillings</w:t>
            </w:r>
          </w:p>
        </w:tc>
      </w:tr>
      <w:tr w14:paraId="57D342D9">
        <w:tblPrEx>
          <w:tblCellMar>
            <w:top w:w="0" w:type="dxa"/>
            <w:left w:w="108" w:type="dxa"/>
            <w:bottom w:w="0" w:type="dxa"/>
            <w:right w:w="108" w:type="dxa"/>
          </w:tblCellMar>
        </w:tblPrEx>
        <w:trPr>
          <w:trHeight w:val="300" w:hRule="atLeast"/>
        </w:trPr>
        <w:tc>
          <w:tcPr>
            <w:tcW w:w="1680" w:type="dxa"/>
            <w:vAlign w:val="bottom"/>
          </w:tcPr>
          <w:p w14:paraId="708C0570">
            <w:pPr>
              <w:spacing w:after="0" w:line="240" w:lineRule="auto"/>
              <w:rPr>
                <w:rFonts w:ascii="Times New Roman" w:hAnsi="Times New Roman" w:eastAsia="Times New Roman"/>
                <w:szCs w:val="24"/>
                <w:lang w:val="en-US"/>
              </w:rPr>
            </w:pPr>
            <w:r>
              <w:rPr>
                <w:rFonts w:ascii="Times New Roman" w:hAnsi="Times New Roman" w:eastAsia="Times New Roman"/>
                <w:szCs w:val="24"/>
              </w:rPr>
              <w:t>KFS</w:t>
            </w:r>
          </w:p>
        </w:tc>
        <w:tc>
          <w:tcPr>
            <w:tcW w:w="7135" w:type="dxa"/>
            <w:vAlign w:val="bottom"/>
          </w:tcPr>
          <w:p w14:paraId="46B98FED">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 xml:space="preserve">Kenya Forestry Service </w:t>
            </w:r>
          </w:p>
        </w:tc>
      </w:tr>
      <w:tr w14:paraId="2E4E6A2B">
        <w:tblPrEx>
          <w:tblCellMar>
            <w:top w:w="0" w:type="dxa"/>
            <w:left w:w="108" w:type="dxa"/>
            <w:bottom w:w="0" w:type="dxa"/>
            <w:right w:w="108" w:type="dxa"/>
          </w:tblCellMar>
        </w:tblPrEx>
        <w:trPr>
          <w:trHeight w:val="300" w:hRule="atLeast"/>
        </w:trPr>
        <w:tc>
          <w:tcPr>
            <w:tcW w:w="1680" w:type="dxa"/>
            <w:vAlign w:val="bottom"/>
          </w:tcPr>
          <w:p w14:paraId="5EB8712C">
            <w:pPr>
              <w:spacing w:after="0" w:line="240" w:lineRule="auto"/>
              <w:rPr>
                <w:rFonts w:ascii="Times New Roman" w:hAnsi="Times New Roman" w:eastAsia="Times New Roman"/>
                <w:szCs w:val="24"/>
                <w:lang w:val="en-US"/>
              </w:rPr>
            </w:pPr>
            <w:r>
              <w:rPr>
                <w:rFonts w:ascii="Times New Roman" w:hAnsi="Times New Roman" w:eastAsia="Times New Roman"/>
                <w:szCs w:val="24"/>
              </w:rPr>
              <w:t>M3</w:t>
            </w:r>
          </w:p>
        </w:tc>
        <w:tc>
          <w:tcPr>
            <w:tcW w:w="7135" w:type="dxa"/>
            <w:vAlign w:val="bottom"/>
          </w:tcPr>
          <w:p w14:paraId="64DA85DD">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Cubic Metres</w:t>
            </w:r>
          </w:p>
        </w:tc>
      </w:tr>
      <w:tr w14:paraId="5AABD2A5">
        <w:tblPrEx>
          <w:tblCellMar>
            <w:top w:w="0" w:type="dxa"/>
            <w:left w:w="108" w:type="dxa"/>
            <w:bottom w:w="0" w:type="dxa"/>
            <w:right w:w="108" w:type="dxa"/>
          </w:tblCellMar>
        </w:tblPrEx>
        <w:trPr>
          <w:trHeight w:val="300" w:hRule="atLeast"/>
        </w:trPr>
        <w:tc>
          <w:tcPr>
            <w:tcW w:w="1680" w:type="dxa"/>
            <w:vAlign w:val="bottom"/>
          </w:tcPr>
          <w:p w14:paraId="114BC944">
            <w:pPr>
              <w:spacing w:after="0" w:line="240" w:lineRule="auto"/>
              <w:rPr>
                <w:rFonts w:ascii="Times New Roman" w:hAnsi="Times New Roman" w:eastAsia="Times New Roman"/>
                <w:szCs w:val="24"/>
                <w:lang w:val="en-US"/>
              </w:rPr>
            </w:pPr>
            <w:r>
              <w:rPr>
                <w:rFonts w:ascii="Times New Roman" w:hAnsi="Times New Roman" w:eastAsia="Times New Roman"/>
                <w:szCs w:val="24"/>
              </w:rPr>
              <w:t>MOWS</w:t>
            </w:r>
            <w:r>
              <w:rPr>
                <w:rFonts w:ascii="Times New Roman" w:hAnsi="Times New Roman" w:eastAsia="Times New Roman"/>
                <w:szCs w:val="24"/>
                <w:lang w:val="en-US"/>
              </w:rPr>
              <w:t>I</w:t>
            </w:r>
          </w:p>
        </w:tc>
        <w:tc>
          <w:tcPr>
            <w:tcW w:w="7135" w:type="dxa"/>
            <w:vAlign w:val="bottom"/>
          </w:tcPr>
          <w:p w14:paraId="237500C9">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Ministry of Water  Sanitation, and Irrigation</w:t>
            </w:r>
          </w:p>
        </w:tc>
      </w:tr>
      <w:tr w14:paraId="5141307C">
        <w:tblPrEx>
          <w:tblCellMar>
            <w:top w:w="0" w:type="dxa"/>
            <w:left w:w="108" w:type="dxa"/>
            <w:bottom w:w="0" w:type="dxa"/>
            <w:right w:w="108" w:type="dxa"/>
          </w:tblCellMar>
        </w:tblPrEx>
        <w:trPr>
          <w:trHeight w:val="300" w:hRule="atLeast"/>
        </w:trPr>
        <w:tc>
          <w:tcPr>
            <w:tcW w:w="1680" w:type="dxa"/>
            <w:vAlign w:val="bottom"/>
          </w:tcPr>
          <w:p w14:paraId="0CBCE38E">
            <w:pPr>
              <w:spacing w:after="0" w:line="240" w:lineRule="auto"/>
              <w:rPr>
                <w:rFonts w:ascii="Times New Roman" w:hAnsi="Times New Roman" w:eastAsia="Times New Roman"/>
                <w:szCs w:val="24"/>
                <w:lang w:val="en-US"/>
              </w:rPr>
            </w:pPr>
            <w:r>
              <w:rPr>
                <w:rFonts w:ascii="Times New Roman" w:hAnsi="Times New Roman" w:eastAsia="Times New Roman"/>
                <w:szCs w:val="24"/>
              </w:rPr>
              <w:t>NEMA</w:t>
            </w:r>
          </w:p>
        </w:tc>
        <w:tc>
          <w:tcPr>
            <w:tcW w:w="7135" w:type="dxa"/>
            <w:vAlign w:val="bottom"/>
          </w:tcPr>
          <w:p w14:paraId="4572695F">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National Environment Management Authority</w:t>
            </w:r>
          </w:p>
        </w:tc>
      </w:tr>
      <w:tr w14:paraId="27C646F5">
        <w:tblPrEx>
          <w:tblCellMar>
            <w:top w:w="0" w:type="dxa"/>
            <w:left w:w="108" w:type="dxa"/>
            <w:bottom w:w="0" w:type="dxa"/>
            <w:right w:w="108" w:type="dxa"/>
          </w:tblCellMar>
        </w:tblPrEx>
        <w:trPr>
          <w:trHeight w:val="300" w:hRule="atLeast"/>
        </w:trPr>
        <w:tc>
          <w:tcPr>
            <w:tcW w:w="1680" w:type="dxa"/>
            <w:vAlign w:val="bottom"/>
          </w:tcPr>
          <w:p w14:paraId="4CEDF01E">
            <w:pPr>
              <w:spacing w:after="0" w:line="240" w:lineRule="auto"/>
              <w:rPr>
                <w:rFonts w:ascii="Times New Roman" w:hAnsi="Times New Roman" w:eastAsia="Times New Roman"/>
                <w:szCs w:val="24"/>
                <w:lang w:val="en-US"/>
              </w:rPr>
            </w:pPr>
            <w:r>
              <w:rPr>
                <w:rFonts w:ascii="Times New Roman" w:hAnsi="Times New Roman" w:eastAsia="Times New Roman"/>
                <w:szCs w:val="24"/>
              </w:rPr>
              <w:t>NGO</w:t>
            </w:r>
          </w:p>
        </w:tc>
        <w:tc>
          <w:tcPr>
            <w:tcW w:w="7135" w:type="dxa"/>
            <w:vAlign w:val="bottom"/>
          </w:tcPr>
          <w:p w14:paraId="5F219E64">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Non-Governmental Organization</w:t>
            </w:r>
          </w:p>
        </w:tc>
      </w:tr>
      <w:tr w14:paraId="726C1DB6">
        <w:tblPrEx>
          <w:tblCellMar>
            <w:top w:w="0" w:type="dxa"/>
            <w:left w:w="108" w:type="dxa"/>
            <w:bottom w:w="0" w:type="dxa"/>
            <w:right w:w="108" w:type="dxa"/>
          </w:tblCellMar>
        </w:tblPrEx>
        <w:trPr>
          <w:trHeight w:val="300" w:hRule="atLeast"/>
        </w:trPr>
        <w:tc>
          <w:tcPr>
            <w:tcW w:w="1680" w:type="dxa"/>
            <w:vAlign w:val="bottom"/>
          </w:tcPr>
          <w:p w14:paraId="7C9CFCAB">
            <w:pPr>
              <w:spacing w:after="0" w:line="240" w:lineRule="auto"/>
              <w:rPr>
                <w:rFonts w:ascii="Times New Roman" w:hAnsi="Times New Roman" w:eastAsia="Times New Roman"/>
                <w:szCs w:val="24"/>
                <w:lang w:val="en-US"/>
              </w:rPr>
            </w:pPr>
            <w:r>
              <w:rPr>
                <w:rFonts w:ascii="Times New Roman" w:hAnsi="Times New Roman" w:eastAsia="Times New Roman"/>
                <w:szCs w:val="24"/>
              </w:rPr>
              <w:t>NLC</w:t>
            </w:r>
          </w:p>
        </w:tc>
        <w:tc>
          <w:tcPr>
            <w:tcW w:w="7135" w:type="dxa"/>
            <w:vAlign w:val="bottom"/>
          </w:tcPr>
          <w:p w14:paraId="2D9619E4">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National Land Commission</w:t>
            </w:r>
          </w:p>
        </w:tc>
      </w:tr>
      <w:tr w14:paraId="64613EE3">
        <w:tblPrEx>
          <w:tblCellMar>
            <w:top w:w="0" w:type="dxa"/>
            <w:left w:w="108" w:type="dxa"/>
            <w:bottom w:w="0" w:type="dxa"/>
            <w:right w:w="108" w:type="dxa"/>
          </w:tblCellMar>
        </w:tblPrEx>
        <w:trPr>
          <w:trHeight w:val="300" w:hRule="atLeast"/>
        </w:trPr>
        <w:tc>
          <w:tcPr>
            <w:tcW w:w="1680" w:type="dxa"/>
            <w:vAlign w:val="bottom"/>
          </w:tcPr>
          <w:p w14:paraId="38BCBFCF">
            <w:pPr>
              <w:spacing w:after="0" w:line="240" w:lineRule="auto"/>
              <w:rPr>
                <w:rFonts w:ascii="Times New Roman" w:hAnsi="Times New Roman" w:eastAsia="Times New Roman"/>
                <w:szCs w:val="24"/>
                <w:lang w:val="en-US"/>
              </w:rPr>
            </w:pPr>
            <w:r>
              <w:rPr>
                <w:rFonts w:ascii="Times New Roman" w:hAnsi="Times New Roman" w:eastAsia="Times New Roman"/>
                <w:szCs w:val="24"/>
              </w:rPr>
              <w:t>NMK</w:t>
            </w:r>
          </w:p>
        </w:tc>
        <w:tc>
          <w:tcPr>
            <w:tcW w:w="7135" w:type="dxa"/>
            <w:vAlign w:val="bottom"/>
          </w:tcPr>
          <w:p w14:paraId="3C17493B">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National Museums of Kenya</w:t>
            </w:r>
          </w:p>
        </w:tc>
      </w:tr>
      <w:tr w14:paraId="3D74024A">
        <w:tblPrEx>
          <w:tblCellMar>
            <w:top w:w="0" w:type="dxa"/>
            <w:left w:w="108" w:type="dxa"/>
            <w:bottom w:w="0" w:type="dxa"/>
            <w:right w:w="108" w:type="dxa"/>
          </w:tblCellMar>
        </w:tblPrEx>
        <w:trPr>
          <w:trHeight w:val="300" w:hRule="atLeast"/>
        </w:trPr>
        <w:tc>
          <w:tcPr>
            <w:tcW w:w="1680" w:type="dxa"/>
            <w:vAlign w:val="bottom"/>
          </w:tcPr>
          <w:p w14:paraId="01B67E3C">
            <w:pPr>
              <w:spacing w:after="0" w:line="240" w:lineRule="auto"/>
              <w:rPr>
                <w:rFonts w:ascii="Times New Roman" w:hAnsi="Times New Roman" w:eastAsia="Times New Roman"/>
                <w:szCs w:val="24"/>
                <w:lang w:val="en-US"/>
              </w:rPr>
            </w:pPr>
            <w:r>
              <w:rPr>
                <w:rFonts w:ascii="Times New Roman" w:hAnsi="Times New Roman" w:eastAsia="Times New Roman"/>
                <w:szCs w:val="24"/>
              </w:rPr>
              <w:t>NPEP</w:t>
            </w:r>
          </w:p>
        </w:tc>
        <w:tc>
          <w:tcPr>
            <w:tcW w:w="7135" w:type="dxa"/>
            <w:vAlign w:val="bottom"/>
          </w:tcPr>
          <w:p w14:paraId="51156943">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National Poverty Eradication Plan</w:t>
            </w:r>
          </w:p>
        </w:tc>
      </w:tr>
      <w:tr w14:paraId="788B8346">
        <w:tblPrEx>
          <w:tblCellMar>
            <w:top w:w="0" w:type="dxa"/>
            <w:left w:w="108" w:type="dxa"/>
            <w:bottom w:w="0" w:type="dxa"/>
            <w:right w:w="108" w:type="dxa"/>
          </w:tblCellMar>
        </w:tblPrEx>
        <w:trPr>
          <w:trHeight w:val="300" w:hRule="atLeast"/>
        </w:trPr>
        <w:tc>
          <w:tcPr>
            <w:tcW w:w="1680" w:type="dxa"/>
            <w:vAlign w:val="bottom"/>
          </w:tcPr>
          <w:p w14:paraId="26889E49">
            <w:pPr>
              <w:spacing w:after="0" w:line="240" w:lineRule="auto"/>
              <w:rPr>
                <w:rFonts w:ascii="Times New Roman" w:hAnsi="Times New Roman" w:eastAsia="Times New Roman"/>
                <w:szCs w:val="24"/>
              </w:rPr>
            </w:pPr>
            <w:r>
              <w:rPr>
                <w:rFonts w:ascii="Times New Roman" w:hAnsi="Times New Roman" w:eastAsia="Times New Roman"/>
                <w:szCs w:val="24"/>
              </w:rPr>
              <w:t>OP</w:t>
            </w:r>
          </w:p>
        </w:tc>
        <w:tc>
          <w:tcPr>
            <w:tcW w:w="7135" w:type="dxa"/>
            <w:vAlign w:val="bottom"/>
          </w:tcPr>
          <w:p w14:paraId="622D2258">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Operational Policy</w:t>
            </w:r>
          </w:p>
        </w:tc>
      </w:tr>
      <w:tr w14:paraId="77B63B8B">
        <w:tblPrEx>
          <w:tblCellMar>
            <w:top w:w="0" w:type="dxa"/>
            <w:left w:w="108" w:type="dxa"/>
            <w:bottom w:w="0" w:type="dxa"/>
            <w:right w:w="108" w:type="dxa"/>
          </w:tblCellMar>
        </w:tblPrEx>
        <w:trPr>
          <w:trHeight w:val="300" w:hRule="atLeast"/>
        </w:trPr>
        <w:tc>
          <w:tcPr>
            <w:tcW w:w="1680" w:type="dxa"/>
            <w:vAlign w:val="bottom"/>
          </w:tcPr>
          <w:p w14:paraId="1B38178F">
            <w:pPr>
              <w:spacing w:after="0" w:line="240" w:lineRule="auto"/>
              <w:rPr>
                <w:rFonts w:ascii="Times New Roman" w:hAnsi="Times New Roman" w:eastAsia="Times New Roman"/>
                <w:szCs w:val="24"/>
              </w:rPr>
            </w:pPr>
            <w:r>
              <w:rPr>
                <w:rFonts w:ascii="Times New Roman" w:hAnsi="Times New Roman" w:eastAsia="Times New Roman"/>
                <w:szCs w:val="24"/>
              </w:rPr>
              <w:t>PEC</w:t>
            </w:r>
          </w:p>
        </w:tc>
        <w:tc>
          <w:tcPr>
            <w:tcW w:w="7135" w:type="dxa"/>
            <w:vAlign w:val="bottom"/>
          </w:tcPr>
          <w:p w14:paraId="51EC77A1">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 xml:space="preserve">Poverty Eradication Commission </w:t>
            </w:r>
          </w:p>
        </w:tc>
      </w:tr>
      <w:tr w14:paraId="7C62C6F0">
        <w:tblPrEx>
          <w:tblCellMar>
            <w:top w:w="0" w:type="dxa"/>
            <w:left w:w="108" w:type="dxa"/>
            <w:bottom w:w="0" w:type="dxa"/>
            <w:right w:w="108" w:type="dxa"/>
          </w:tblCellMar>
        </w:tblPrEx>
        <w:trPr>
          <w:trHeight w:val="300" w:hRule="atLeast"/>
        </w:trPr>
        <w:tc>
          <w:tcPr>
            <w:tcW w:w="1680" w:type="dxa"/>
            <w:vAlign w:val="bottom"/>
          </w:tcPr>
          <w:p w14:paraId="25173E75">
            <w:pPr>
              <w:spacing w:after="0" w:line="240" w:lineRule="auto"/>
              <w:rPr>
                <w:rFonts w:ascii="Times New Roman" w:hAnsi="Times New Roman" w:eastAsia="Times New Roman"/>
                <w:szCs w:val="24"/>
              </w:rPr>
            </w:pPr>
            <w:r>
              <w:rPr>
                <w:rFonts w:ascii="Times New Roman" w:hAnsi="Times New Roman" w:eastAsia="Times New Roman"/>
                <w:szCs w:val="24"/>
              </w:rPr>
              <w:t>PPE</w:t>
            </w:r>
          </w:p>
        </w:tc>
        <w:tc>
          <w:tcPr>
            <w:tcW w:w="7135" w:type="dxa"/>
            <w:vAlign w:val="bottom"/>
          </w:tcPr>
          <w:p w14:paraId="07C3C4D5">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Personal Protective Equipment</w:t>
            </w:r>
          </w:p>
        </w:tc>
      </w:tr>
      <w:tr w14:paraId="7AF48194">
        <w:tblPrEx>
          <w:tblCellMar>
            <w:top w:w="0" w:type="dxa"/>
            <w:left w:w="108" w:type="dxa"/>
            <w:bottom w:w="0" w:type="dxa"/>
            <w:right w:w="108" w:type="dxa"/>
          </w:tblCellMar>
        </w:tblPrEx>
        <w:trPr>
          <w:trHeight w:val="300" w:hRule="atLeast"/>
        </w:trPr>
        <w:tc>
          <w:tcPr>
            <w:tcW w:w="1680" w:type="dxa"/>
            <w:vAlign w:val="bottom"/>
          </w:tcPr>
          <w:p w14:paraId="7476E1CA">
            <w:pPr>
              <w:spacing w:after="0" w:line="240" w:lineRule="auto"/>
              <w:rPr>
                <w:rFonts w:ascii="Times New Roman" w:hAnsi="Times New Roman" w:eastAsia="Times New Roman"/>
                <w:szCs w:val="24"/>
              </w:rPr>
            </w:pPr>
            <w:r>
              <w:rPr>
                <w:rFonts w:ascii="Times New Roman" w:hAnsi="Times New Roman" w:eastAsia="Times New Roman"/>
                <w:szCs w:val="24"/>
              </w:rPr>
              <w:t xml:space="preserve">SEA   </w:t>
            </w:r>
          </w:p>
        </w:tc>
        <w:tc>
          <w:tcPr>
            <w:tcW w:w="7135" w:type="dxa"/>
            <w:vAlign w:val="bottom"/>
          </w:tcPr>
          <w:p w14:paraId="0FC10549">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 xml:space="preserve"> Sexual Exploitation and Abuse</w:t>
            </w:r>
          </w:p>
        </w:tc>
      </w:tr>
      <w:tr w14:paraId="44A21E63">
        <w:tblPrEx>
          <w:tblCellMar>
            <w:top w:w="0" w:type="dxa"/>
            <w:left w:w="108" w:type="dxa"/>
            <w:bottom w:w="0" w:type="dxa"/>
            <w:right w:w="108" w:type="dxa"/>
          </w:tblCellMar>
        </w:tblPrEx>
        <w:trPr>
          <w:trHeight w:val="300" w:hRule="atLeast"/>
        </w:trPr>
        <w:tc>
          <w:tcPr>
            <w:tcW w:w="1680" w:type="dxa"/>
            <w:vAlign w:val="bottom"/>
          </w:tcPr>
          <w:p w14:paraId="111C1696">
            <w:pPr>
              <w:spacing w:after="0" w:line="240" w:lineRule="auto"/>
              <w:rPr>
                <w:rFonts w:ascii="Times New Roman" w:hAnsi="Times New Roman" w:eastAsia="Times New Roman"/>
                <w:szCs w:val="24"/>
              </w:rPr>
            </w:pPr>
            <w:r>
              <w:rPr>
                <w:rFonts w:ascii="Times New Roman" w:hAnsi="Times New Roman" w:eastAsia="Times New Roman"/>
                <w:szCs w:val="24"/>
              </w:rPr>
              <w:t>SDB</w:t>
            </w:r>
          </w:p>
        </w:tc>
        <w:tc>
          <w:tcPr>
            <w:tcW w:w="7135" w:type="dxa"/>
            <w:vAlign w:val="bottom"/>
          </w:tcPr>
          <w:p w14:paraId="7D9B29DE">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Sludge Drying Bed</w:t>
            </w:r>
          </w:p>
        </w:tc>
      </w:tr>
      <w:tr w14:paraId="78A9419D">
        <w:tblPrEx>
          <w:tblCellMar>
            <w:top w:w="0" w:type="dxa"/>
            <w:left w:w="108" w:type="dxa"/>
            <w:bottom w:w="0" w:type="dxa"/>
            <w:right w:w="108" w:type="dxa"/>
          </w:tblCellMar>
        </w:tblPrEx>
        <w:trPr>
          <w:trHeight w:val="300" w:hRule="atLeast"/>
        </w:trPr>
        <w:tc>
          <w:tcPr>
            <w:tcW w:w="1680" w:type="dxa"/>
            <w:vAlign w:val="bottom"/>
          </w:tcPr>
          <w:p w14:paraId="1A7495CE">
            <w:pPr>
              <w:spacing w:after="0" w:line="240" w:lineRule="auto"/>
              <w:rPr>
                <w:rFonts w:ascii="Times New Roman" w:hAnsi="Times New Roman" w:eastAsia="Times New Roman"/>
                <w:szCs w:val="24"/>
              </w:rPr>
            </w:pPr>
            <w:r>
              <w:rPr>
                <w:rFonts w:ascii="Times New Roman" w:hAnsi="Times New Roman" w:eastAsia="Times New Roman"/>
                <w:szCs w:val="24"/>
              </w:rPr>
              <w:t>SHF</w:t>
            </w:r>
          </w:p>
        </w:tc>
        <w:tc>
          <w:tcPr>
            <w:tcW w:w="7135" w:type="dxa"/>
            <w:vAlign w:val="bottom"/>
          </w:tcPr>
          <w:p w14:paraId="05A3D183">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Sludge Handling Facility</w:t>
            </w:r>
          </w:p>
        </w:tc>
      </w:tr>
      <w:tr w14:paraId="1951ECB8">
        <w:tblPrEx>
          <w:tblCellMar>
            <w:top w:w="0" w:type="dxa"/>
            <w:left w:w="108" w:type="dxa"/>
            <w:bottom w:w="0" w:type="dxa"/>
            <w:right w:w="108" w:type="dxa"/>
          </w:tblCellMar>
        </w:tblPrEx>
        <w:trPr>
          <w:trHeight w:val="300" w:hRule="atLeast"/>
        </w:trPr>
        <w:tc>
          <w:tcPr>
            <w:tcW w:w="1680" w:type="dxa"/>
            <w:vAlign w:val="bottom"/>
          </w:tcPr>
          <w:p w14:paraId="104718A0">
            <w:pPr>
              <w:spacing w:after="0" w:line="240" w:lineRule="auto"/>
              <w:rPr>
                <w:rFonts w:ascii="Times New Roman" w:hAnsi="Times New Roman" w:eastAsia="Times New Roman"/>
                <w:szCs w:val="24"/>
              </w:rPr>
            </w:pPr>
            <w:r>
              <w:rPr>
                <w:rFonts w:ascii="Times New Roman" w:hAnsi="Times New Roman" w:eastAsia="Times New Roman"/>
                <w:szCs w:val="24"/>
              </w:rPr>
              <w:t>STD</w:t>
            </w:r>
          </w:p>
        </w:tc>
        <w:tc>
          <w:tcPr>
            <w:tcW w:w="7135" w:type="dxa"/>
            <w:vAlign w:val="bottom"/>
          </w:tcPr>
          <w:p w14:paraId="12887DE1">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Sexually Transmitted Diseases</w:t>
            </w:r>
          </w:p>
        </w:tc>
      </w:tr>
      <w:tr w14:paraId="7660CAFA">
        <w:tblPrEx>
          <w:tblCellMar>
            <w:top w:w="0" w:type="dxa"/>
            <w:left w:w="108" w:type="dxa"/>
            <w:bottom w:w="0" w:type="dxa"/>
            <w:right w:w="108" w:type="dxa"/>
          </w:tblCellMar>
        </w:tblPrEx>
        <w:trPr>
          <w:trHeight w:val="300" w:hRule="atLeast"/>
        </w:trPr>
        <w:tc>
          <w:tcPr>
            <w:tcW w:w="1680" w:type="dxa"/>
            <w:vAlign w:val="bottom"/>
          </w:tcPr>
          <w:p w14:paraId="76F3095C">
            <w:pPr>
              <w:spacing w:after="0" w:line="240" w:lineRule="auto"/>
              <w:rPr>
                <w:rFonts w:ascii="Times New Roman" w:hAnsi="Times New Roman" w:eastAsia="Times New Roman"/>
                <w:szCs w:val="24"/>
              </w:rPr>
            </w:pPr>
            <w:r>
              <w:rPr>
                <w:rFonts w:ascii="Times New Roman" w:hAnsi="Times New Roman" w:eastAsia="Times New Roman"/>
                <w:szCs w:val="24"/>
              </w:rPr>
              <w:t xml:space="preserve">KIMAWASCO </w:t>
            </w:r>
          </w:p>
        </w:tc>
        <w:tc>
          <w:tcPr>
            <w:tcW w:w="7135" w:type="dxa"/>
            <w:vAlign w:val="bottom"/>
          </w:tcPr>
          <w:p w14:paraId="64BB094D">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Kilifi-Mariakani Water and Sewerage Company Ltd</w:t>
            </w:r>
          </w:p>
        </w:tc>
      </w:tr>
      <w:tr w14:paraId="6D57A3F0">
        <w:tblPrEx>
          <w:tblCellMar>
            <w:top w:w="0" w:type="dxa"/>
            <w:left w:w="108" w:type="dxa"/>
            <w:bottom w:w="0" w:type="dxa"/>
            <w:right w:w="108" w:type="dxa"/>
          </w:tblCellMar>
        </w:tblPrEx>
        <w:trPr>
          <w:trHeight w:val="300" w:hRule="atLeast"/>
        </w:trPr>
        <w:tc>
          <w:tcPr>
            <w:tcW w:w="1680" w:type="dxa"/>
            <w:vAlign w:val="bottom"/>
          </w:tcPr>
          <w:p w14:paraId="7A57CA42">
            <w:pPr>
              <w:spacing w:after="0" w:line="240" w:lineRule="auto"/>
              <w:rPr>
                <w:rFonts w:ascii="Times New Roman" w:hAnsi="Times New Roman" w:eastAsia="Times New Roman"/>
                <w:szCs w:val="24"/>
              </w:rPr>
            </w:pPr>
            <w:r>
              <w:rPr>
                <w:rFonts w:ascii="Times New Roman" w:hAnsi="Times New Roman" w:eastAsia="Times New Roman"/>
                <w:szCs w:val="24"/>
              </w:rPr>
              <w:t>VCT</w:t>
            </w:r>
          </w:p>
        </w:tc>
        <w:tc>
          <w:tcPr>
            <w:tcW w:w="7135" w:type="dxa"/>
            <w:vAlign w:val="bottom"/>
          </w:tcPr>
          <w:p w14:paraId="14F7467B">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Voluntary Counselling and Testing</w:t>
            </w:r>
          </w:p>
        </w:tc>
      </w:tr>
      <w:tr w14:paraId="060689AD">
        <w:tblPrEx>
          <w:tblCellMar>
            <w:top w:w="0" w:type="dxa"/>
            <w:left w:w="108" w:type="dxa"/>
            <w:bottom w:w="0" w:type="dxa"/>
            <w:right w:w="108" w:type="dxa"/>
          </w:tblCellMar>
        </w:tblPrEx>
        <w:trPr>
          <w:trHeight w:val="300" w:hRule="atLeast"/>
        </w:trPr>
        <w:tc>
          <w:tcPr>
            <w:tcW w:w="1680" w:type="dxa"/>
            <w:vAlign w:val="bottom"/>
          </w:tcPr>
          <w:p w14:paraId="5639246C">
            <w:pPr>
              <w:spacing w:after="0" w:line="240" w:lineRule="auto"/>
              <w:rPr>
                <w:rFonts w:ascii="Times New Roman" w:hAnsi="Times New Roman" w:eastAsia="Times New Roman"/>
                <w:szCs w:val="24"/>
              </w:rPr>
            </w:pPr>
            <w:r>
              <w:rPr>
                <w:rFonts w:ascii="Times New Roman" w:hAnsi="Times New Roman" w:eastAsia="Times New Roman"/>
                <w:szCs w:val="24"/>
              </w:rPr>
              <w:t>WASSIP</w:t>
            </w:r>
          </w:p>
        </w:tc>
        <w:tc>
          <w:tcPr>
            <w:tcW w:w="7135" w:type="dxa"/>
            <w:vAlign w:val="bottom"/>
          </w:tcPr>
          <w:p w14:paraId="69373559">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Water And Sanitation Service Improvement Project</w:t>
            </w:r>
          </w:p>
        </w:tc>
      </w:tr>
      <w:tr w14:paraId="0A7643C5">
        <w:tblPrEx>
          <w:tblCellMar>
            <w:top w:w="0" w:type="dxa"/>
            <w:left w:w="108" w:type="dxa"/>
            <w:bottom w:w="0" w:type="dxa"/>
            <w:right w:w="108" w:type="dxa"/>
          </w:tblCellMar>
        </w:tblPrEx>
        <w:trPr>
          <w:trHeight w:val="300" w:hRule="atLeast"/>
        </w:trPr>
        <w:tc>
          <w:tcPr>
            <w:tcW w:w="1680" w:type="dxa"/>
            <w:vAlign w:val="bottom"/>
          </w:tcPr>
          <w:p w14:paraId="43DC6C5E">
            <w:pPr>
              <w:spacing w:after="0" w:line="240" w:lineRule="auto"/>
              <w:rPr>
                <w:rFonts w:ascii="Times New Roman" w:hAnsi="Times New Roman" w:eastAsia="Times New Roman"/>
                <w:szCs w:val="24"/>
              </w:rPr>
            </w:pPr>
            <w:r>
              <w:rPr>
                <w:rFonts w:ascii="Times New Roman" w:hAnsi="Times New Roman" w:eastAsia="Times New Roman"/>
                <w:szCs w:val="24"/>
              </w:rPr>
              <w:t>WASSIP-AF</w:t>
            </w:r>
          </w:p>
        </w:tc>
        <w:tc>
          <w:tcPr>
            <w:tcW w:w="7135" w:type="dxa"/>
            <w:vAlign w:val="bottom"/>
          </w:tcPr>
          <w:p w14:paraId="7A3626AA">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Water And Sanitation Service Improvement Project – Additional Financing</w:t>
            </w:r>
          </w:p>
        </w:tc>
      </w:tr>
      <w:tr w14:paraId="000BB218">
        <w:tblPrEx>
          <w:tblCellMar>
            <w:top w:w="0" w:type="dxa"/>
            <w:left w:w="108" w:type="dxa"/>
            <w:bottom w:w="0" w:type="dxa"/>
            <w:right w:w="108" w:type="dxa"/>
          </w:tblCellMar>
        </w:tblPrEx>
        <w:trPr>
          <w:trHeight w:val="300" w:hRule="atLeast"/>
        </w:trPr>
        <w:tc>
          <w:tcPr>
            <w:tcW w:w="1680" w:type="dxa"/>
            <w:vAlign w:val="bottom"/>
          </w:tcPr>
          <w:p w14:paraId="7612815A">
            <w:pPr>
              <w:spacing w:after="0" w:line="240" w:lineRule="auto"/>
              <w:rPr>
                <w:rFonts w:ascii="Times New Roman" w:hAnsi="Times New Roman" w:eastAsia="Times New Roman"/>
                <w:szCs w:val="24"/>
              </w:rPr>
            </w:pPr>
            <w:r>
              <w:rPr>
                <w:rFonts w:ascii="Times New Roman" w:hAnsi="Times New Roman" w:eastAsia="Times New Roman"/>
                <w:szCs w:val="24"/>
              </w:rPr>
              <w:t>WB</w:t>
            </w:r>
          </w:p>
        </w:tc>
        <w:tc>
          <w:tcPr>
            <w:tcW w:w="7135" w:type="dxa"/>
            <w:vAlign w:val="bottom"/>
          </w:tcPr>
          <w:p w14:paraId="3EF96104">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World Bank</w:t>
            </w:r>
          </w:p>
        </w:tc>
      </w:tr>
      <w:tr w14:paraId="191AD792">
        <w:tblPrEx>
          <w:tblCellMar>
            <w:top w:w="0" w:type="dxa"/>
            <w:left w:w="108" w:type="dxa"/>
            <w:bottom w:w="0" w:type="dxa"/>
            <w:right w:w="108" w:type="dxa"/>
          </w:tblCellMar>
        </w:tblPrEx>
        <w:trPr>
          <w:trHeight w:val="300" w:hRule="atLeast"/>
        </w:trPr>
        <w:tc>
          <w:tcPr>
            <w:tcW w:w="1680" w:type="dxa"/>
            <w:vAlign w:val="bottom"/>
          </w:tcPr>
          <w:p w14:paraId="5BBBFBD0">
            <w:pPr>
              <w:spacing w:after="0" w:line="240" w:lineRule="auto"/>
              <w:rPr>
                <w:rFonts w:ascii="Times New Roman" w:hAnsi="Times New Roman" w:eastAsia="Times New Roman"/>
                <w:szCs w:val="24"/>
              </w:rPr>
            </w:pPr>
            <w:r>
              <w:rPr>
                <w:rFonts w:ascii="Times New Roman" w:hAnsi="Times New Roman" w:eastAsia="Times New Roman"/>
                <w:szCs w:val="24"/>
              </w:rPr>
              <w:t>WHO</w:t>
            </w:r>
          </w:p>
        </w:tc>
        <w:tc>
          <w:tcPr>
            <w:tcW w:w="7135" w:type="dxa"/>
            <w:vAlign w:val="bottom"/>
          </w:tcPr>
          <w:p w14:paraId="55B84423">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World Health Organisation</w:t>
            </w:r>
          </w:p>
        </w:tc>
      </w:tr>
      <w:tr w14:paraId="695E382E">
        <w:tblPrEx>
          <w:tblCellMar>
            <w:top w:w="0" w:type="dxa"/>
            <w:left w:w="108" w:type="dxa"/>
            <w:bottom w:w="0" w:type="dxa"/>
            <w:right w:w="108" w:type="dxa"/>
          </w:tblCellMar>
        </w:tblPrEx>
        <w:trPr>
          <w:trHeight w:val="300" w:hRule="atLeast"/>
        </w:trPr>
        <w:tc>
          <w:tcPr>
            <w:tcW w:w="1680" w:type="dxa"/>
            <w:vAlign w:val="bottom"/>
          </w:tcPr>
          <w:p w14:paraId="35CCC23F">
            <w:pPr>
              <w:spacing w:after="0" w:line="240" w:lineRule="auto"/>
              <w:rPr>
                <w:rFonts w:ascii="Times New Roman" w:hAnsi="Times New Roman" w:eastAsia="Times New Roman"/>
                <w:szCs w:val="24"/>
              </w:rPr>
            </w:pPr>
            <w:r>
              <w:rPr>
                <w:rFonts w:ascii="Times New Roman" w:hAnsi="Times New Roman" w:eastAsia="Times New Roman"/>
                <w:szCs w:val="24"/>
              </w:rPr>
              <w:t>WRA</w:t>
            </w:r>
          </w:p>
        </w:tc>
        <w:tc>
          <w:tcPr>
            <w:tcW w:w="7135" w:type="dxa"/>
            <w:vAlign w:val="bottom"/>
          </w:tcPr>
          <w:p w14:paraId="0B44CC4C">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Water Resources Authority</w:t>
            </w:r>
          </w:p>
        </w:tc>
      </w:tr>
      <w:tr w14:paraId="0054B8D2">
        <w:tblPrEx>
          <w:tblCellMar>
            <w:top w:w="0" w:type="dxa"/>
            <w:left w:w="108" w:type="dxa"/>
            <w:bottom w:w="0" w:type="dxa"/>
            <w:right w:w="108" w:type="dxa"/>
          </w:tblCellMar>
        </w:tblPrEx>
        <w:trPr>
          <w:trHeight w:val="300" w:hRule="atLeast"/>
        </w:trPr>
        <w:tc>
          <w:tcPr>
            <w:tcW w:w="1680" w:type="dxa"/>
            <w:vAlign w:val="bottom"/>
          </w:tcPr>
          <w:p w14:paraId="5E9E1BDE">
            <w:pPr>
              <w:spacing w:after="0" w:line="240" w:lineRule="auto"/>
              <w:rPr>
                <w:rFonts w:ascii="Times New Roman" w:hAnsi="Times New Roman" w:eastAsia="Times New Roman"/>
                <w:szCs w:val="24"/>
              </w:rPr>
            </w:pPr>
            <w:r>
              <w:rPr>
                <w:rFonts w:ascii="Times New Roman" w:hAnsi="Times New Roman" w:eastAsia="Times New Roman"/>
                <w:szCs w:val="24"/>
              </w:rPr>
              <w:t xml:space="preserve">WSSD </w:t>
            </w:r>
          </w:p>
        </w:tc>
        <w:tc>
          <w:tcPr>
            <w:tcW w:w="7135" w:type="dxa"/>
            <w:vAlign w:val="bottom"/>
          </w:tcPr>
          <w:p w14:paraId="72A007B6">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World Summit for The Social Development</w:t>
            </w:r>
          </w:p>
        </w:tc>
      </w:tr>
      <w:tr w14:paraId="4378FE49">
        <w:tblPrEx>
          <w:tblCellMar>
            <w:top w:w="0" w:type="dxa"/>
            <w:left w:w="108" w:type="dxa"/>
            <w:bottom w:w="0" w:type="dxa"/>
            <w:right w:w="108" w:type="dxa"/>
          </w:tblCellMar>
        </w:tblPrEx>
        <w:trPr>
          <w:trHeight w:val="300" w:hRule="atLeast"/>
        </w:trPr>
        <w:tc>
          <w:tcPr>
            <w:tcW w:w="1680" w:type="dxa"/>
            <w:vAlign w:val="bottom"/>
          </w:tcPr>
          <w:p w14:paraId="4D4312C0">
            <w:pPr>
              <w:spacing w:after="0" w:line="240" w:lineRule="auto"/>
              <w:rPr>
                <w:rFonts w:ascii="Times New Roman" w:hAnsi="Times New Roman" w:eastAsia="Times New Roman"/>
                <w:szCs w:val="24"/>
              </w:rPr>
            </w:pPr>
            <w:r>
              <w:rPr>
                <w:rFonts w:ascii="Times New Roman" w:hAnsi="Times New Roman" w:eastAsia="Times New Roman"/>
                <w:szCs w:val="24"/>
              </w:rPr>
              <w:t>WTP</w:t>
            </w:r>
          </w:p>
        </w:tc>
        <w:tc>
          <w:tcPr>
            <w:tcW w:w="7135" w:type="dxa"/>
            <w:vAlign w:val="bottom"/>
          </w:tcPr>
          <w:p w14:paraId="21332E03">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Water Treatment Plant</w:t>
            </w:r>
          </w:p>
        </w:tc>
      </w:tr>
      <w:tr w14:paraId="7782CDAD">
        <w:tblPrEx>
          <w:tblCellMar>
            <w:top w:w="0" w:type="dxa"/>
            <w:left w:w="108" w:type="dxa"/>
            <w:bottom w:w="0" w:type="dxa"/>
            <w:right w:w="108" w:type="dxa"/>
          </w:tblCellMar>
        </w:tblPrEx>
        <w:trPr>
          <w:trHeight w:val="300" w:hRule="atLeast"/>
        </w:trPr>
        <w:tc>
          <w:tcPr>
            <w:tcW w:w="1680" w:type="dxa"/>
            <w:vAlign w:val="bottom"/>
          </w:tcPr>
          <w:p w14:paraId="13BFFE27">
            <w:pPr>
              <w:spacing w:after="0" w:line="240" w:lineRule="auto"/>
              <w:rPr>
                <w:rFonts w:ascii="Times New Roman" w:hAnsi="Times New Roman" w:eastAsia="Times New Roman"/>
                <w:szCs w:val="24"/>
              </w:rPr>
            </w:pPr>
            <w:r>
              <w:rPr>
                <w:rFonts w:ascii="Times New Roman" w:hAnsi="Times New Roman" w:eastAsia="Times New Roman"/>
                <w:szCs w:val="24"/>
              </w:rPr>
              <w:t>WWTP</w:t>
            </w:r>
          </w:p>
        </w:tc>
        <w:tc>
          <w:tcPr>
            <w:tcW w:w="7135" w:type="dxa"/>
            <w:vAlign w:val="bottom"/>
          </w:tcPr>
          <w:p w14:paraId="4785EA85">
            <w:pPr>
              <w:spacing w:after="0" w:line="240" w:lineRule="auto"/>
              <w:rPr>
                <w:rFonts w:ascii="Times New Roman" w:hAnsi="Times New Roman" w:eastAsia="Times New Roman"/>
                <w:szCs w:val="24"/>
                <w:lang w:val="en-US"/>
              </w:rPr>
            </w:pPr>
            <w:r>
              <w:rPr>
                <w:rFonts w:ascii="Times New Roman" w:hAnsi="Times New Roman" w:eastAsia="Times New Roman"/>
                <w:szCs w:val="24"/>
                <w:lang w:val="en-US"/>
              </w:rPr>
              <w:t xml:space="preserve">   Wastewater Treatment Plant</w:t>
            </w:r>
          </w:p>
        </w:tc>
      </w:tr>
    </w:tbl>
    <w:p w14:paraId="70194C1F">
      <w:pPr>
        <w:spacing w:line="240" w:lineRule="auto"/>
        <w:rPr>
          <w:rFonts w:ascii="Times New Roman" w:hAnsi="Times New Roman"/>
          <w:b/>
          <w:szCs w:val="24"/>
          <w:u w:val="single"/>
        </w:rPr>
      </w:pPr>
    </w:p>
    <w:p w14:paraId="158A3F38">
      <w:pPr>
        <w:spacing w:line="240" w:lineRule="auto"/>
        <w:rPr>
          <w:rFonts w:ascii="Times New Roman" w:hAnsi="Times New Roman"/>
          <w:szCs w:val="24"/>
        </w:rPr>
        <w:sectPr>
          <w:headerReference r:id="rId11" w:type="default"/>
          <w:footerReference r:id="rId12" w:type="default"/>
          <w:pgSz w:w="11906" w:h="16838"/>
          <w:pgMar w:top="1440" w:right="1440" w:bottom="1440" w:left="1440" w:header="720" w:footer="397" w:gutter="0"/>
          <w:pgNumType w:fmt="lowerRoman"/>
          <w:cols w:space="720" w:num="1"/>
          <w:docGrid w:linePitch="360" w:charSpace="0"/>
        </w:sectPr>
      </w:pPr>
    </w:p>
    <w:p w14:paraId="73A807DB">
      <w:pPr>
        <w:pStyle w:val="2"/>
        <w:shd w:val="clear" w:color="auto" w:fill="auto"/>
        <w:spacing w:line="240" w:lineRule="auto"/>
        <w:rPr>
          <w:rFonts w:ascii="Times New Roman" w:hAnsi="Times New Roman"/>
          <w:szCs w:val="24"/>
        </w:rPr>
      </w:pPr>
      <w:bookmarkStart w:id="10" w:name="_Toc220710778"/>
      <w:bookmarkStart w:id="11" w:name="_Toc21263"/>
      <w:bookmarkStart w:id="12" w:name="_Toc4137"/>
      <w:bookmarkStart w:id="13" w:name="_Toc32605"/>
      <w:r>
        <w:rPr>
          <w:rFonts w:ascii="Times New Roman" w:hAnsi="Times New Roman"/>
          <w:szCs w:val="24"/>
        </w:rPr>
        <w:t>INTRODUCTION</w:t>
      </w:r>
      <w:bookmarkEnd w:id="10"/>
      <w:bookmarkEnd w:id="11"/>
      <w:bookmarkEnd w:id="12"/>
      <w:bookmarkEnd w:id="13"/>
    </w:p>
    <w:p w14:paraId="10424576">
      <w:pPr>
        <w:spacing w:line="240" w:lineRule="auto"/>
        <w:jc w:val="both"/>
        <w:rPr>
          <w:rFonts w:ascii="Times New Roman" w:hAnsi="Times New Roman"/>
          <w:szCs w:val="24"/>
        </w:rPr>
      </w:pPr>
      <w:r>
        <w:rPr>
          <w:rFonts w:ascii="Times New Roman" w:hAnsi="Times New Roman"/>
          <w:szCs w:val="24"/>
        </w:rPr>
        <w:t>Environmental and Social Impact Assessment (E</w:t>
      </w:r>
      <w:r>
        <w:rPr>
          <w:rFonts w:ascii="Times New Roman" w:hAnsi="Times New Roman"/>
          <w:szCs w:val="24"/>
          <w:lang w:val="en-US"/>
        </w:rPr>
        <w:t>S</w:t>
      </w:r>
      <w:r>
        <w:rPr>
          <w:rFonts w:ascii="Times New Roman" w:hAnsi="Times New Roman"/>
          <w:szCs w:val="24"/>
        </w:rPr>
        <w:t xml:space="preserve">IA) is an analytical process that systematically examines the possible environmental consequences of a project´s implementation. ESIA provides a way of assessing key issues effectively and transparently, and highlights opportunities to achieve wider environmental objectives. An ESIA is carried out for new projects that are likely to have significant adverse impacts on the environment. </w:t>
      </w:r>
    </w:p>
    <w:p w14:paraId="596F7EBB">
      <w:pPr>
        <w:spacing w:line="240" w:lineRule="auto"/>
        <w:jc w:val="both"/>
        <w:rPr>
          <w:rFonts w:ascii="Times New Roman" w:hAnsi="Times New Roman"/>
          <w:szCs w:val="24"/>
        </w:rPr>
      </w:pPr>
      <w:r>
        <w:rPr>
          <w:rFonts w:ascii="Times New Roman" w:hAnsi="Times New Roman"/>
          <w:szCs w:val="24"/>
        </w:rPr>
        <w:t>An Environmental and Social Management Plan (ESMP) is one of the outputs of an ESIA process. An ESMP establishes how impact mitigation measures are to be implemented and monitored. An ESIA provides competent environmental authorities insight on the environmental risks of a project to determine if it should be rejected, approved, or approved conditioned to the implementation of mitigation measures. The ESMP is used to ensure the impact mitigation measures get implemented and provides the elements to monitor key environmental variables.</w:t>
      </w:r>
    </w:p>
    <w:p w14:paraId="255DB4FC">
      <w:pPr>
        <w:spacing w:line="240" w:lineRule="auto"/>
        <w:jc w:val="both"/>
        <w:rPr>
          <w:rFonts w:ascii="Times New Roman" w:hAnsi="Times New Roman"/>
          <w:szCs w:val="24"/>
          <w:lang w:val="en-US" w:eastAsia="ja-JP"/>
        </w:rPr>
      </w:pPr>
      <w:r>
        <w:rPr>
          <w:rFonts w:ascii="Times New Roman" w:hAnsi="Times New Roman"/>
          <w:szCs w:val="24"/>
          <w:lang w:val="en-US" w:eastAsia="ja-JP"/>
        </w:rPr>
        <w:t>ESIA became compulsory in Kenya after the enactment of Environmental Management and Coordination Act (1999). This Act has undergone several amendments but the most far-reaching changes came in Environmental Management and Coordination (Amendment) Act (2015). The 2015 amendment was to align the Act with Constitution of Kenya, 2010. Under Kenya’s environmental laws, Environmental Impact Assessment is required for all projects that are likely to have a negative effect on the environment. The law classifies these projects into three groups according to the seriousness of their likely effects, namely: Low Risk, Medium Risk, and High-Risk projects.</w:t>
      </w:r>
    </w:p>
    <w:p w14:paraId="16F4F45A">
      <w:pPr>
        <w:spacing w:after="0" w:line="240" w:lineRule="auto"/>
        <w:jc w:val="both"/>
        <w:rPr>
          <w:rStyle w:val="18"/>
          <w:rFonts w:ascii="Times New Roman" w:hAnsi="Times New Roman"/>
          <w:szCs w:val="24"/>
          <w:shd w:val="clear" w:color="auto" w:fill="FFFFFF"/>
        </w:rPr>
      </w:pPr>
      <w:r>
        <w:rPr>
          <w:rFonts w:ascii="Times New Roman" w:hAnsi="Times New Roman"/>
          <w:szCs w:val="24"/>
          <w:shd w:val="clear" w:color="auto" w:fill="FFFFFF"/>
        </w:rPr>
        <w:t>The goal of an ESIA is to ensure that decisions on proposed project and activities are environmentally sustainable. Specific objectives of ESIA include:</w:t>
      </w:r>
    </w:p>
    <w:p w14:paraId="4E4EDB24">
      <w:pPr>
        <w:pStyle w:val="32"/>
        <w:numPr>
          <w:ilvl w:val="0"/>
          <w:numId w:val="13"/>
        </w:numPr>
        <w:spacing w:after="200" w:line="240" w:lineRule="auto"/>
        <w:jc w:val="both"/>
        <w:rPr>
          <w:rFonts w:ascii="Times New Roman" w:hAnsi="Times New Roman"/>
          <w:szCs w:val="24"/>
          <w:lang w:val="en-US" w:eastAsia="ja-JP"/>
        </w:rPr>
      </w:pPr>
      <w:r>
        <w:rPr>
          <w:rFonts w:ascii="Times New Roman" w:hAnsi="Times New Roman"/>
          <w:szCs w:val="24"/>
          <w:shd w:val="clear" w:color="auto" w:fill="FFFFFF"/>
        </w:rPr>
        <w:t>Identify impacts of a project on the environment.</w:t>
      </w:r>
    </w:p>
    <w:p w14:paraId="4239C1A1">
      <w:pPr>
        <w:pStyle w:val="32"/>
        <w:numPr>
          <w:ilvl w:val="0"/>
          <w:numId w:val="13"/>
        </w:numPr>
        <w:spacing w:after="200" w:line="240" w:lineRule="auto"/>
        <w:jc w:val="both"/>
        <w:rPr>
          <w:rFonts w:ascii="Times New Roman" w:hAnsi="Times New Roman"/>
          <w:szCs w:val="24"/>
          <w:lang w:val="en-US" w:eastAsia="ja-JP"/>
        </w:rPr>
      </w:pPr>
      <w:r>
        <w:rPr>
          <w:rFonts w:ascii="Times New Roman" w:hAnsi="Times New Roman"/>
          <w:szCs w:val="24"/>
          <w:shd w:val="clear" w:color="auto" w:fill="FFFFFF"/>
        </w:rPr>
        <w:t>Predict likely changes on the environment because of the development.</w:t>
      </w:r>
    </w:p>
    <w:p w14:paraId="3CC61741">
      <w:pPr>
        <w:pStyle w:val="32"/>
        <w:numPr>
          <w:ilvl w:val="0"/>
          <w:numId w:val="13"/>
        </w:numPr>
        <w:spacing w:after="200" w:line="240" w:lineRule="auto"/>
        <w:jc w:val="both"/>
        <w:rPr>
          <w:rFonts w:ascii="Times New Roman" w:hAnsi="Times New Roman"/>
          <w:szCs w:val="24"/>
          <w:lang w:val="en-US" w:eastAsia="ja-JP"/>
        </w:rPr>
      </w:pPr>
      <w:r>
        <w:rPr>
          <w:rFonts w:ascii="Times New Roman" w:hAnsi="Times New Roman"/>
          <w:szCs w:val="24"/>
          <w:shd w:val="clear" w:color="auto" w:fill="FFFFFF"/>
        </w:rPr>
        <w:t>Evaluate the impacts of the various alternatives on the project.</w:t>
      </w:r>
    </w:p>
    <w:p w14:paraId="1676E352">
      <w:pPr>
        <w:pStyle w:val="32"/>
        <w:numPr>
          <w:ilvl w:val="0"/>
          <w:numId w:val="13"/>
        </w:numPr>
        <w:spacing w:after="200" w:line="240" w:lineRule="auto"/>
        <w:jc w:val="both"/>
        <w:rPr>
          <w:rFonts w:ascii="Times New Roman" w:hAnsi="Times New Roman"/>
          <w:szCs w:val="24"/>
          <w:lang w:val="en-US" w:eastAsia="ja-JP"/>
        </w:rPr>
      </w:pPr>
      <w:r>
        <w:rPr>
          <w:rFonts w:ascii="Times New Roman" w:hAnsi="Times New Roman"/>
          <w:szCs w:val="24"/>
          <w:shd w:val="clear" w:color="auto" w:fill="FFFFFF"/>
        </w:rPr>
        <w:t>Propose mitigation measures for the significant negative impact of the project on the environment.</w:t>
      </w:r>
    </w:p>
    <w:p w14:paraId="69FB77EF">
      <w:pPr>
        <w:pStyle w:val="32"/>
        <w:numPr>
          <w:ilvl w:val="0"/>
          <w:numId w:val="13"/>
        </w:numPr>
        <w:spacing w:after="200" w:line="240" w:lineRule="auto"/>
        <w:jc w:val="both"/>
        <w:rPr>
          <w:rFonts w:ascii="Times New Roman" w:hAnsi="Times New Roman"/>
          <w:szCs w:val="24"/>
          <w:lang w:val="en-US" w:eastAsia="ja-JP"/>
        </w:rPr>
      </w:pPr>
      <w:r>
        <w:rPr>
          <w:rFonts w:ascii="Times New Roman" w:hAnsi="Times New Roman"/>
          <w:szCs w:val="24"/>
          <w:shd w:val="clear" w:color="auto" w:fill="FFFFFF"/>
        </w:rPr>
        <w:t>Generate baseline data for monitoring and evaluation impacts, including mitigation measures during the project cycle.</w:t>
      </w:r>
    </w:p>
    <w:p w14:paraId="6F350009">
      <w:pPr>
        <w:pStyle w:val="32"/>
        <w:numPr>
          <w:ilvl w:val="0"/>
          <w:numId w:val="13"/>
        </w:numPr>
        <w:spacing w:after="200" w:line="240" w:lineRule="auto"/>
        <w:jc w:val="both"/>
        <w:rPr>
          <w:rFonts w:ascii="Times New Roman" w:hAnsi="Times New Roman"/>
          <w:szCs w:val="24"/>
          <w:shd w:val="clear" w:color="auto" w:fill="FFFFFF"/>
        </w:rPr>
      </w:pPr>
      <w:r>
        <w:rPr>
          <w:rFonts w:ascii="Times New Roman" w:hAnsi="Times New Roman"/>
          <w:szCs w:val="24"/>
          <w:shd w:val="clear" w:color="auto" w:fill="FFFFFF"/>
        </w:rPr>
        <w:t>Highlight environment</w:t>
      </w:r>
      <w:r>
        <w:rPr>
          <w:rFonts w:ascii="Times New Roman" w:hAnsi="Times New Roman"/>
          <w:szCs w:val="24"/>
          <w:shd w:val="clear" w:color="auto" w:fill="FFFFFF"/>
          <w:lang w:val="en-US"/>
        </w:rPr>
        <w:t>al and Social</w:t>
      </w:r>
      <w:r>
        <w:rPr>
          <w:rFonts w:ascii="Times New Roman" w:hAnsi="Times New Roman"/>
          <w:szCs w:val="24"/>
          <w:shd w:val="clear" w:color="auto" w:fill="FFFFFF"/>
        </w:rPr>
        <w:t xml:space="preserve"> issues with a view to guiding policy makers, planners, stakeholders and government agencies to make environmentally and economically sustainable decisions.</w:t>
      </w:r>
    </w:p>
    <w:p w14:paraId="5F4F4EE8">
      <w:pPr>
        <w:spacing w:line="240" w:lineRule="auto"/>
        <w:jc w:val="both"/>
        <w:rPr>
          <w:rFonts w:ascii="Times New Roman" w:hAnsi="Times New Roman"/>
          <w:szCs w:val="24"/>
        </w:rPr>
      </w:pPr>
      <w:r>
        <w:rPr>
          <w:rFonts w:ascii="Times New Roman" w:hAnsi="Times New Roman"/>
          <w:szCs w:val="24"/>
        </w:rPr>
        <w:t>The broad scope of the work is to carry out Environment and Social Impact Assessment of the proposed KIMAWSCO Office</w:t>
      </w:r>
      <w:r>
        <w:rPr>
          <w:rFonts w:ascii="Times New Roman" w:hAnsi="Times New Roman"/>
          <w:szCs w:val="24"/>
          <w:lang w:val="en-US"/>
        </w:rPr>
        <w:t xml:space="preserve"> Site</w:t>
      </w:r>
      <w:r>
        <w:rPr>
          <w:rFonts w:ascii="Times New Roman" w:hAnsi="Times New Roman"/>
          <w:szCs w:val="24"/>
        </w:rPr>
        <w:t xml:space="preserve"> Ablution Block in Kilifi Town.</w:t>
      </w:r>
    </w:p>
    <w:p w14:paraId="0092FB05">
      <w:pPr>
        <w:pStyle w:val="3"/>
        <w:spacing w:line="240" w:lineRule="auto"/>
        <w:rPr>
          <w:rFonts w:ascii="Times New Roman" w:hAnsi="Times New Roman" w:cs="Times New Roman"/>
          <w:sz w:val="24"/>
          <w:szCs w:val="24"/>
        </w:rPr>
      </w:pPr>
      <w:bookmarkStart w:id="14" w:name="_Toc220710779"/>
      <w:bookmarkStart w:id="15" w:name="_Toc28762"/>
      <w:bookmarkStart w:id="16" w:name="_Toc2007"/>
      <w:bookmarkStart w:id="17" w:name="_Toc22156"/>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sz w:val="24"/>
          <w:szCs w:val="24"/>
        </w:rPr>
        <w:t>Need For the Project</w:t>
      </w:r>
      <w:bookmarkEnd w:id="14"/>
      <w:bookmarkEnd w:id="15"/>
      <w:bookmarkEnd w:id="16"/>
      <w:bookmarkEnd w:id="17"/>
    </w:p>
    <w:p w14:paraId="21B48F0A">
      <w:pPr>
        <w:spacing w:line="240" w:lineRule="auto"/>
        <w:jc w:val="both"/>
        <w:rPr>
          <w:rFonts w:ascii="Times New Roman" w:hAnsi="Times New Roman"/>
          <w:szCs w:val="24"/>
        </w:rPr>
      </w:pPr>
      <w:r>
        <w:rPr>
          <w:rFonts w:ascii="Times New Roman" w:hAnsi="Times New Roman"/>
          <w:szCs w:val="24"/>
        </w:rPr>
        <w:t>The strategic importance of this project lies in the need for overall improved sanitation in the ballooning population of Kilifi.</w:t>
      </w:r>
    </w:p>
    <w:p w14:paraId="26E02A28">
      <w:pPr>
        <w:spacing w:line="240" w:lineRule="auto"/>
        <w:jc w:val="both"/>
        <w:rPr>
          <w:rFonts w:ascii="Times New Roman" w:hAnsi="Times New Roman"/>
          <w:szCs w:val="24"/>
        </w:rPr>
      </w:pPr>
      <w:r>
        <w:rPr>
          <w:rFonts w:ascii="Times New Roman" w:hAnsi="Times New Roman"/>
          <w:szCs w:val="24"/>
        </w:rPr>
        <w:t xml:space="preserve">Currently, the sanitation situation in KIMAWSCO Office, Kilifi, poses a significant health hazard to residents and presents an environmental risk. There are no sanitation facilities available for staff and visitors operating near the proposed site. </w:t>
      </w:r>
    </w:p>
    <w:p w14:paraId="00BE165E">
      <w:pPr>
        <w:spacing w:line="240" w:lineRule="auto"/>
        <w:jc w:val="both"/>
        <w:rPr>
          <w:rFonts w:ascii="Times New Roman" w:hAnsi="Times New Roman"/>
          <w:szCs w:val="24"/>
        </w:rPr>
      </w:pPr>
      <w:r>
        <w:rPr>
          <w:rFonts w:ascii="Times New Roman" w:hAnsi="Times New Roman"/>
          <w:szCs w:val="24"/>
        </w:rPr>
        <w:t>The implementation of the project will contribute to the improvement of the sanitation situation in the area, improved performance of the economic sectors and the delivery of social services in the project environs</w:t>
      </w:r>
    </w:p>
    <w:p w14:paraId="176CB71B">
      <w:pPr>
        <w:spacing w:line="240" w:lineRule="auto"/>
        <w:jc w:val="both"/>
        <w:rPr>
          <w:rFonts w:ascii="Times New Roman" w:hAnsi="Times New Roman"/>
          <w:szCs w:val="24"/>
        </w:rPr>
      </w:pPr>
      <w:r>
        <w:rPr>
          <w:rFonts w:ascii="Times New Roman" w:hAnsi="Times New Roman"/>
          <w:szCs w:val="24"/>
        </w:rPr>
        <w:t>The current sanitation infrastructure in Kilifi Town is insufficient to meet the sanitation needs of the growing population and there is a need for the development of a sustainable water-borne sanitation system.</w:t>
      </w:r>
    </w:p>
    <w:p w14:paraId="40B94351">
      <w:pPr>
        <w:spacing w:line="240" w:lineRule="auto"/>
        <w:jc w:val="both"/>
        <w:rPr>
          <w:rFonts w:ascii="Times New Roman" w:hAnsi="Times New Roman"/>
          <w:szCs w:val="24"/>
        </w:rPr>
      </w:pPr>
      <w:r>
        <w:rPr>
          <w:rFonts w:ascii="Times New Roman" w:hAnsi="Times New Roman"/>
          <w:szCs w:val="24"/>
        </w:rPr>
        <w:t>The main beneficiaries will be: -</w:t>
      </w:r>
    </w:p>
    <w:p w14:paraId="1E58401D">
      <w:pPr>
        <w:pStyle w:val="32"/>
        <w:numPr>
          <w:ilvl w:val="0"/>
          <w:numId w:val="14"/>
        </w:numPr>
        <w:spacing w:after="0" w:line="240" w:lineRule="auto"/>
        <w:jc w:val="both"/>
        <w:rPr>
          <w:rFonts w:ascii="Times New Roman" w:hAnsi="Times New Roman"/>
          <w:szCs w:val="24"/>
        </w:rPr>
      </w:pPr>
      <w:r>
        <w:rPr>
          <w:rFonts w:ascii="Times New Roman" w:hAnsi="Times New Roman"/>
          <w:szCs w:val="24"/>
        </w:rPr>
        <w:t>KIMAWASCO Staff are expected to benefit from improved hygiene.</w:t>
      </w:r>
    </w:p>
    <w:p w14:paraId="3AA0492A">
      <w:pPr>
        <w:pStyle w:val="32"/>
        <w:numPr>
          <w:ilvl w:val="0"/>
          <w:numId w:val="14"/>
        </w:numPr>
        <w:spacing w:after="0" w:line="240" w:lineRule="auto"/>
        <w:jc w:val="both"/>
        <w:rPr>
          <w:rFonts w:ascii="Times New Roman" w:hAnsi="Times New Roman"/>
          <w:szCs w:val="24"/>
        </w:rPr>
      </w:pPr>
      <w:r>
        <w:rPr>
          <w:rFonts w:ascii="Times New Roman" w:hAnsi="Times New Roman"/>
          <w:szCs w:val="24"/>
        </w:rPr>
        <w:t>Visitors will gain from increased comfort and accessibility.</w:t>
      </w:r>
    </w:p>
    <w:p w14:paraId="3223A5AD">
      <w:pPr>
        <w:pStyle w:val="32"/>
        <w:numPr>
          <w:ilvl w:val="0"/>
          <w:numId w:val="14"/>
        </w:numPr>
        <w:spacing w:after="0" w:line="240" w:lineRule="auto"/>
        <w:jc w:val="both"/>
        <w:rPr>
          <w:rFonts w:ascii="Times New Roman" w:hAnsi="Times New Roman"/>
          <w:szCs w:val="24"/>
        </w:rPr>
      </w:pPr>
      <w:r>
        <w:rPr>
          <w:rFonts w:ascii="Times New Roman" w:hAnsi="Times New Roman"/>
          <w:szCs w:val="24"/>
        </w:rPr>
        <w:t>KIMAWASCO will run the project.</w:t>
      </w:r>
    </w:p>
    <w:p w14:paraId="1C97BA63">
      <w:pPr>
        <w:pStyle w:val="32"/>
        <w:numPr>
          <w:ilvl w:val="0"/>
          <w:numId w:val="14"/>
        </w:numPr>
        <w:spacing w:line="240" w:lineRule="auto"/>
        <w:jc w:val="both"/>
        <w:rPr>
          <w:rFonts w:ascii="Times New Roman" w:hAnsi="Times New Roman"/>
          <w:szCs w:val="24"/>
        </w:rPr>
      </w:pPr>
      <w:r>
        <w:rPr>
          <w:rFonts w:ascii="Times New Roman" w:hAnsi="Times New Roman"/>
          <w:szCs w:val="24"/>
        </w:rPr>
        <w:t>The local community will experience better public health outcomes and a cleaner environment, with reduced disease transmission</w:t>
      </w:r>
    </w:p>
    <w:p w14:paraId="03D627F5">
      <w:pPr>
        <w:pStyle w:val="3"/>
        <w:spacing w:line="240" w:lineRule="auto"/>
        <w:rPr>
          <w:rFonts w:ascii="Times New Roman" w:hAnsi="Times New Roman" w:cs="Times New Roman"/>
          <w:sz w:val="24"/>
          <w:szCs w:val="24"/>
        </w:rPr>
      </w:pPr>
      <w:bookmarkStart w:id="18" w:name="_Toc220710780"/>
      <w:bookmarkStart w:id="19" w:name="_Toc27683"/>
      <w:bookmarkStart w:id="20" w:name="_Toc7815"/>
      <w:bookmarkStart w:id="21" w:name="_Toc23770"/>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The Terms of Reference</w:t>
      </w:r>
      <w:bookmarkEnd w:id="18"/>
      <w:bookmarkEnd w:id="19"/>
      <w:bookmarkEnd w:id="20"/>
      <w:bookmarkEnd w:id="21"/>
    </w:p>
    <w:p w14:paraId="49C79A20">
      <w:pPr>
        <w:spacing w:line="240" w:lineRule="auto"/>
        <w:jc w:val="both"/>
        <w:rPr>
          <w:rFonts w:ascii="Times New Roman" w:hAnsi="Times New Roman"/>
          <w:szCs w:val="24"/>
        </w:rPr>
      </w:pPr>
      <w:r>
        <w:rPr>
          <w:rFonts w:ascii="Times New Roman" w:hAnsi="Times New Roman"/>
          <w:szCs w:val="24"/>
        </w:rPr>
        <w:t>The TOR requires that an ESIA Study of proposed ablution block in KIMAWASCO Head Office, Kilifi. The ESIA study will, therefore, be a study of potential environmental and social impacts and risks of the project. An Environmental and Social Management Plan (ESMP) with comprehensive mitigation measures and environmental monitoring plan will be drawn and the proponent advised accordingly. The analysis includes, but not limited to the following:</w:t>
      </w:r>
    </w:p>
    <w:p w14:paraId="09709957">
      <w:pPr>
        <w:pStyle w:val="32"/>
        <w:numPr>
          <w:ilvl w:val="0"/>
          <w:numId w:val="15"/>
        </w:numPr>
        <w:spacing w:line="240" w:lineRule="auto"/>
        <w:jc w:val="both"/>
        <w:rPr>
          <w:rFonts w:ascii="Times New Roman" w:hAnsi="Times New Roman"/>
          <w:szCs w:val="24"/>
        </w:rPr>
      </w:pPr>
      <w:r>
        <w:rPr>
          <w:rFonts w:ascii="Times New Roman" w:hAnsi="Times New Roman"/>
          <w:szCs w:val="24"/>
        </w:rPr>
        <w:t>Evaluation on the project impacts on flora, fauna, soils, air, water and identification of other impacts likely to be generated by the proposed project.</w:t>
      </w:r>
    </w:p>
    <w:p w14:paraId="3FB75EAB">
      <w:pPr>
        <w:pStyle w:val="32"/>
        <w:numPr>
          <w:ilvl w:val="0"/>
          <w:numId w:val="15"/>
        </w:numPr>
        <w:spacing w:line="240" w:lineRule="auto"/>
        <w:jc w:val="both"/>
        <w:rPr>
          <w:rFonts w:ascii="Times New Roman" w:hAnsi="Times New Roman"/>
          <w:szCs w:val="24"/>
        </w:rPr>
      </w:pPr>
      <w:r>
        <w:rPr>
          <w:rFonts w:ascii="Times New Roman" w:hAnsi="Times New Roman"/>
          <w:szCs w:val="24"/>
        </w:rPr>
        <w:t>A description of actions taking place during the main phases of the project (construction, operation, and maintenance) which could lead to environmental damage;</w:t>
      </w:r>
    </w:p>
    <w:p w14:paraId="78B7AB92">
      <w:pPr>
        <w:pStyle w:val="32"/>
        <w:numPr>
          <w:ilvl w:val="0"/>
          <w:numId w:val="15"/>
        </w:numPr>
        <w:spacing w:line="240" w:lineRule="auto"/>
        <w:jc w:val="both"/>
        <w:rPr>
          <w:rFonts w:ascii="Times New Roman" w:hAnsi="Times New Roman"/>
          <w:szCs w:val="24"/>
        </w:rPr>
      </w:pPr>
      <w:r>
        <w:rPr>
          <w:rFonts w:ascii="Times New Roman" w:hAnsi="Times New Roman"/>
          <w:szCs w:val="24"/>
        </w:rPr>
        <w:t xml:space="preserve">Identification of the potential impacts of the ablution block relative to surrounding land use as well as the people living or operating in areas associated with the project. </w:t>
      </w:r>
    </w:p>
    <w:p w14:paraId="393DFDFF">
      <w:pPr>
        <w:pStyle w:val="32"/>
        <w:numPr>
          <w:ilvl w:val="0"/>
          <w:numId w:val="15"/>
        </w:numPr>
        <w:spacing w:line="240" w:lineRule="auto"/>
        <w:jc w:val="both"/>
        <w:rPr>
          <w:rFonts w:ascii="Times New Roman" w:hAnsi="Times New Roman"/>
          <w:szCs w:val="24"/>
        </w:rPr>
      </w:pPr>
      <w:r>
        <w:rPr>
          <w:rFonts w:ascii="Times New Roman" w:hAnsi="Times New Roman"/>
          <w:szCs w:val="24"/>
        </w:rPr>
        <w:t>Preparation of an action plan for the repair of the damage done and for the prevention of any negative</w:t>
      </w:r>
      <w:r>
        <w:rPr>
          <w:rFonts w:ascii="Times New Roman" w:hAnsi="Times New Roman"/>
          <w:szCs w:val="24"/>
          <w:lang w:val="en-US"/>
        </w:rPr>
        <w:t xml:space="preserve"> environmental and social</w:t>
      </w:r>
      <w:r>
        <w:rPr>
          <w:rFonts w:ascii="Times New Roman" w:hAnsi="Times New Roman"/>
          <w:szCs w:val="24"/>
        </w:rPr>
        <w:t xml:space="preserve"> effects resulting from the proposed project. </w:t>
      </w:r>
    </w:p>
    <w:p w14:paraId="1A45E027">
      <w:pPr>
        <w:pStyle w:val="32"/>
        <w:numPr>
          <w:ilvl w:val="0"/>
          <w:numId w:val="15"/>
        </w:numPr>
        <w:spacing w:line="240" w:lineRule="auto"/>
        <w:jc w:val="both"/>
        <w:rPr>
          <w:rFonts w:ascii="Times New Roman" w:hAnsi="Times New Roman"/>
          <w:szCs w:val="24"/>
        </w:rPr>
      </w:pPr>
      <w:r>
        <w:rPr>
          <w:rFonts w:ascii="Times New Roman" w:hAnsi="Times New Roman"/>
          <w:szCs w:val="24"/>
        </w:rPr>
        <w:t>Formulation of a plan to prevent anticipated undesirable impacts from being actualized.</w:t>
      </w:r>
    </w:p>
    <w:p w14:paraId="05B4FAB5">
      <w:pPr>
        <w:pStyle w:val="32"/>
        <w:numPr>
          <w:ilvl w:val="0"/>
          <w:numId w:val="15"/>
        </w:numPr>
        <w:spacing w:line="240" w:lineRule="auto"/>
        <w:jc w:val="both"/>
        <w:rPr>
          <w:rFonts w:ascii="Times New Roman" w:hAnsi="Times New Roman"/>
          <w:szCs w:val="24"/>
        </w:rPr>
      </w:pPr>
      <w:r>
        <w:rPr>
          <w:rFonts w:ascii="Times New Roman" w:hAnsi="Times New Roman"/>
          <w:szCs w:val="24"/>
        </w:rPr>
        <w:t>Evaluation of the relationship of the proposed project to existing policies, legislation and institutional framework;</w:t>
      </w:r>
    </w:p>
    <w:p w14:paraId="0B02B09F">
      <w:pPr>
        <w:pStyle w:val="3"/>
        <w:spacing w:line="240" w:lineRule="auto"/>
        <w:rPr>
          <w:rFonts w:ascii="Times New Roman" w:hAnsi="Times New Roman" w:cs="Times New Roman"/>
          <w:sz w:val="24"/>
          <w:szCs w:val="24"/>
        </w:rPr>
      </w:pPr>
      <w:bookmarkStart w:id="22" w:name="_Toc5765"/>
      <w:bookmarkStart w:id="23" w:name="_Toc220710781"/>
      <w:bookmarkStart w:id="24" w:name="_Toc16205"/>
      <w:bookmarkStart w:id="25" w:name="_Toc1461"/>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rPr>
        <w:t>ESIA Objectives</w:t>
      </w:r>
      <w:bookmarkEnd w:id="22"/>
      <w:bookmarkEnd w:id="23"/>
      <w:bookmarkEnd w:id="24"/>
      <w:bookmarkEnd w:id="25"/>
    </w:p>
    <w:p w14:paraId="013E8674">
      <w:pPr>
        <w:spacing w:line="240" w:lineRule="auto"/>
        <w:jc w:val="both"/>
        <w:rPr>
          <w:rFonts w:ascii="Times New Roman" w:hAnsi="Times New Roman"/>
          <w:szCs w:val="24"/>
        </w:rPr>
      </w:pPr>
      <w:r>
        <w:rPr>
          <w:rFonts w:ascii="Times New Roman" w:hAnsi="Times New Roman"/>
          <w:szCs w:val="24"/>
        </w:rPr>
        <w:t>The overall objective of the ESIA is to ensure that all environmental consequences due to the construction and operation of the proposed project are identified and where need be, ensuring mitigation measures have been put in place. The specific objectives of the assignment are:</w:t>
      </w:r>
    </w:p>
    <w:p w14:paraId="56B8B694">
      <w:pPr>
        <w:numPr>
          <w:ilvl w:val="0"/>
          <w:numId w:val="16"/>
        </w:numPr>
        <w:spacing w:line="240" w:lineRule="auto"/>
        <w:jc w:val="both"/>
        <w:rPr>
          <w:rFonts w:ascii="Times New Roman" w:hAnsi="Times New Roman"/>
          <w:szCs w:val="24"/>
        </w:rPr>
      </w:pPr>
      <w:r>
        <w:rPr>
          <w:rFonts w:ascii="Times New Roman" w:hAnsi="Times New Roman"/>
          <w:szCs w:val="24"/>
        </w:rPr>
        <w:t xml:space="preserve">Analysing the physical, biological, and socio-economic environment of the project area with respect to the results of the proposed project’s design. </w:t>
      </w:r>
    </w:p>
    <w:p w14:paraId="07412C94">
      <w:pPr>
        <w:numPr>
          <w:ilvl w:val="0"/>
          <w:numId w:val="17"/>
        </w:numPr>
        <w:spacing w:line="240" w:lineRule="auto"/>
        <w:jc w:val="both"/>
        <w:rPr>
          <w:rFonts w:ascii="Times New Roman" w:hAnsi="Times New Roman"/>
          <w:szCs w:val="24"/>
        </w:rPr>
      </w:pPr>
      <w:r>
        <w:rPr>
          <w:rFonts w:ascii="Times New Roman" w:hAnsi="Times New Roman"/>
          <w:szCs w:val="24"/>
        </w:rPr>
        <w:t xml:space="preserve">Analysing the physical, biological, and socio-economic environment of the project area with respect to the results of the proposed project’s design. </w:t>
      </w:r>
    </w:p>
    <w:p w14:paraId="6A57DC6A">
      <w:pPr>
        <w:numPr>
          <w:ilvl w:val="0"/>
          <w:numId w:val="17"/>
        </w:numPr>
        <w:spacing w:line="240" w:lineRule="auto"/>
        <w:jc w:val="both"/>
        <w:rPr>
          <w:rFonts w:ascii="Times New Roman" w:hAnsi="Times New Roman"/>
          <w:szCs w:val="24"/>
        </w:rPr>
      </w:pPr>
      <w:r>
        <w:rPr>
          <w:rFonts w:ascii="Times New Roman" w:hAnsi="Times New Roman"/>
          <w:szCs w:val="24"/>
        </w:rPr>
        <w:t>Screening of potential</w:t>
      </w:r>
      <w:r>
        <w:rPr>
          <w:rFonts w:ascii="Times New Roman" w:hAnsi="Times New Roman"/>
          <w:szCs w:val="24"/>
          <w:lang w:val="en-US"/>
        </w:rPr>
        <w:t xml:space="preserve"> environmental and social</w:t>
      </w:r>
      <w:r>
        <w:rPr>
          <w:rFonts w:ascii="Times New Roman" w:hAnsi="Times New Roman"/>
          <w:szCs w:val="24"/>
        </w:rPr>
        <w:t xml:space="preserve"> issues, concerns and impacts relative to siting, construction and operation of various design components to distinguish those that are likely to be significant for a particular </w:t>
      </w:r>
      <w:r>
        <w:rPr>
          <w:rFonts w:ascii="Times New Roman" w:hAnsi="Times New Roman"/>
          <w:szCs w:val="24"/>
          <w:lang w:val="en-US"/>
        </w:rPr>
        <w:t>sub-component</w:t>
      </w:r>
      <w:r>
        <w:rPr>
          <w:rFonts w:ascii="Times New Roman" w:hAnsi="Times New Roman"/>
          <w:szCs w:val="24"/>
        </w:rPr>
        <w:t xml:space="preserve"> and warranting further study.</w:t>
      </w:r>
    </w:p>
    <w:p w14:paraId="47AFC69E">
      <w:pPr>
        <w:numPr>
          <w:ilvl w:val="0"/>
          <w:numId w:val="17"/>
        </w:numPr>
        <w:spacing w:line="240" w:lineRule="auto"/>
        <w:jc w:val="both"/>
        <w:rPr>
          <w:rFonts w:ascii="Times New Roman" w:hAnsi="Times New Roman"/>
          <w:szCs w:val="24"/>
        </w:rPr>
      </w:pPr>
      <w:r>
        <w:rPr>
          <w:rFonts w:ascii="Times New Roman" w:hAnsi="Times New Roman"/>
          <w:szCs w:val="24"/>
        </w:rPr>
        <w:t xml:space="preserve">To obtain background biophysical information of the site, legal and regulatory issues associated with the project; </w:t>
      </w:r>
    </w:p>
    <w:p w14:paraId="3D637BC2">
      <w:pPr>
        <w:numPr>
          <w:ilvl w:val="0"/>
          <w:numId w:val="17"/>
        </w:numPr>
        <w:spacing w:line="240" w:lineRule="auto"/>
        <w:jc w:val="both"/>
        <w:rPr>
          <w:rFonts w:ascii="Times New Roman" w:hAnsi="Times New Roman"/>
          <w:szCs w:val="24"/>
        </w:rPr>
      </w:pPr>
      <w:r>
        <w:rPr>
          <w:rFonts w:ascii="Times New Roman" w:hAnsi="Times New Roman"/>
          <w:szCs w:val="24"/>
        </w:rPr>
        <w:t>To generate baseline</w:t>
      </w:r>
      <w:r>
        <w:rPr>
          <w:rFonts w:ascii="Times New Roman" w:hAnsi="Times New Roman"/>
          <w:szCs w:val="24"/>
          <w:lang w:val="en-US"/>
        </w:rPr>
        <w:t xml:space="preserve"> environmental and socio economic</w:t>
      </w:r>
      <w:r>
        <w:rPr>
          <w:rFonts w:ascii="Times New Roman" w:hAnsi="Times New Roman"/>
          <w:szCs w:val="24"/>
        </w:rPr>
        <w:t xml:space="preserve"> data for monitoring and evaluation of how the mitigation measures will be implemented during the Project cycle </w:t>
      </w:r>
    </w:p>
    <w:p w14:paraId="2C8F8B95">
      <w:pPr>
        <w:numPr>
          <w:ilvl w:val="0"/>
          <w:numId w:val="17"/>
        </w:numPr>
        <w:spacing w:line="240" w:lineRule="auto"/>
        <w:jc w:val="both"/>
        <w:rPr>
          <w:rFonts w:ascii="Times New Roman" w:hAnsi="Times New Roman"/>
          <w:szCs w:val="24"/>
        </w:rPr>
      </w:pPr>
      <w:r>
        <w:rPr>
          <w:rFonts w:ascii="Times New Roman" w:hAnsi="Times New Roman"/>
          <w:szCs w:val="24"/>
        </w:rPr>
        <w:t>To allow for public participation;</w:t>
      </w:r>
    </w:p>
    <w:p w14:paraId="19EA9F42">
      <w:pPr>
        <w:numPr>
          <w:ilvl w:val="0"/>
          <w:numId w:val="17"/>
        </w:numPr>
        <w:spacing w:line="240" w:lineRule="auto"/>
        <w:jc w:val="both"/>
        <w:rPr>
          <w:rFonts w:ascii="Times New Roman" w:hAnsi="Times New Roman"/>
          <w:szCs w:val="24"/>
        </w:rPr>
      </w:pPr>
      <w:r>
        <w:rPr>
          <w:rFonts w:ascii="Times New Roman" w:hAnsi="Times New Roman"/>
          <w:szCs w:val="24"/>
        </w:rPr>
        <w:t>To make suggestions of possible alterations to the proposed project design, based on the assessment findings</w:t>
      </w:r>
    </w:p>
    <w:p w14:paraId="58EC6F6E">
      <w:pPr>
        <w:numPr>
          <w:ilvl w:val="0"/>
          <w:numId w:val="17"/>
        </w:numPr>
        <w:spacing w:line="240" w:lineRule="auto"/>
        <w:jc w:val="both"/>
        <w:rPr>
          <w:rFonts w:ascii="Times New Roman" w:hAnsi="Times New Roman"/>
          <w:szCs w:val="24"/>
        </w:rPr>
      </w:pPr>
      <w:r>
        <w:rPr>
          <w:rFonts w:ascii="Times New Roman" w:hAnsi="Times New Roman"/>
          <w:szCs w:val="24"/>
        </w:rPr>
        <w:t>To verify the proposed Project compliance with environmental regulations both national and international;</w:t>
      </w:r>
    </w:p>
    <w:p w14:paraId="017BC19B">
      <w:pPr>
        <w:numPr>
          <w:ilvl w:val="0"/>
          <w:numId w:val="17"/>
        </w:numPr>
        <w:spacing w:line="240" w:lineRule="auto"/>
        <w:jc w:val="both"/>
        <w:rPr>
          <w:rFonts w:ascii="Times New Roman" w:hAnsi="Times New Roman"/>
          <w:szCs w:val="24"/>
        </w:rPr>
      </w:pPr>
      <w:r>
        <w:rPr>
          <w:rFonts w:ascii="Times New Roman" w:hAnsi="Times New Roman"/>
          <w:szCs w:val="24"/>
        </w:rPr>
        <w:t>Recommending measures to mitigate adverse issues, concerns and impacts, and to enhance any likely positive impacts.</w:t>
      </w:r>
    </w:p>
    <w:p w14:paraId="03BF0757">
      <w:pPr>
        <w:numPr>
          <w:ilvl w:val="0"/>
          <w:numId w:val="17"/>
        </w:numPr>
        <w:spacing w:line="240" w:lineRule="auto"/>
        <w:jc w:val="both"/>
        <w:rPr>
          <w:rFonts w:ascii="Times New Roman" w:hAnsi="Times New Roman"/>
          <w:szCs w:val="24"/>
        </w:rPr>
      </w:pPr>
      <w:r>
        <w:rPr>
          <w:rFonts w:ascii="Times New Roman" w:hAnsi="Times New Roman"/>
          <w:szCs w:val="24"/>
        </w:rPr>
        <w:t>To assess the</w:t>
      </w:r>
      <w:r>
        <w:rPr>
          <w:rFonts w:ascii="Times New Roman" w:hAnsi="Times New Roman"/>
          <w:szCs w:val="24"/>
          <w:lang w:val="en-US"/>
        </w:rPr>
        <w:t xml:space="preserve"> institutional,</w:t>
      </w:r>
      <w:r>
        <w:rPr>
          <w:rFonts w:ascii="Times New Roman" w:hAnsi="Times New Roman"/>
          <w:szCs w:val="24"/>
        </w:rPr>
        <w:t xml:space="preserve"> legal and regulatory framework governing the project;</w:t>
      </w:r>
    </w:p>
    <w:p w14:paraId="528958A4">
      <w:pPr>
        <w:numPr>
          <w:ilvl w:val="0"/>
          <w:numId w:val="17"/>
        </w:numPr>
        <w:spacing w:line="240" w:lineRule="auto"/>
        <w:jc w:val="both"/>
        <w:rPr>
          <w:rFonts w:ascii="Times New Roman" w:hAnsi="Times New Roman"/>
          <w:szCs w:val="24"/>
        </w:rPr>
      </w:pPr>
      <w:r>
        <w:rPr>
          <w:rFonts w:ascii="Times New Roman" w:hAnsi="Times New Roman"/>
          <w:szCs w:val="24"/>
        </w:rPr>
        <w:t xml:space="preserve">Preparing an Environmental and Social Management and Monitoring Plan indicating impact areas, recommended mitigation measures, and method of monitoring impacts, particularly during construction and operation phases. </w:t>
      </w:r>
    </w:p>
    <w:p w14:paraId="7A1A6E37">
      <w:pPr>
        <w:numPr>
          <w:ilvl w:val="0"/>
          <w:numId w:val="17"/>
        </w:numPr>
        <w:spacing w:line="240" w:lineRule="auto"/>
        <w:jc w:val="both"/>
        <w:rPr>
          <w:rFonts w:ascii="Times New Roman" w:hAnsi="Times New Roman"/>
          <w:szCs w:val="24"/>
        </w:rPr>
      </w:pPr>
      <w:r>
        <w:rPr>
          <w:rFonts w:ascii="Times New Roman" w:hAnsi="Times New Roman"/>
          <w:szCs w:val="24"/>
        </w:rPr>
        <w:t>To compile an ESIA project report for submission to NEMA.</w:t>
      </w:r>
    </w:p>
    <w:p w14:paraId="63031E60">
      <w:pPr>
        <w:spacing w:line="240" w:lineRule="auto"/>
        <w:jc w:val="both"/>
        <w:rPr>
          <w:rFonts w:ascii="Times New Roman" w:hAnsi="Times New Roman"/>
          <w:szCs w:val="24"/>
        </w:rPr>
      </w:pPr>
      <w:r>
        <w:rPr>
          <w:rFonts w:ascii="Times New Roman" w:hAnsi="Times New Roman"/>
          <w:szCs w:val="24"/>
        </w:rPr>
        <w:t>Generally, ESIA also aims to ensure that development projects are implemented in a</w:t>
      </w:r>
      <w:r>
        <w:rPr>
          <w:rFonts w:ascii="Times New Roman" w:hAnsi="Times New Roman"/>
          <w:szCs w:val="24"/>
          <w:lang w:val="en-US"/>
        </w:rPr>
        <w:t>n environmentally and Socially</w:t>
      </w:r>
      <w:r>
        <w:rPr>
          <w:rFonts w:ascii="Times New Roman" w:hAnsi="Times New Roman"/>
          <w:szCs w:val="24"/>
        </w:rPr>
        <w:t xml:space="preserve"> sustainable manner. Sustainable development is increasingly becoming a common synonym to environmental management in infrastructure development. It refers to a pattern of resource use that is aimed at meeting present-day human needs while preserving the environment so that these needs can be met in future generations. Sustainable development ties together concern for the carrying capacity of natural systems with the social challenges facing humanity.</w:t>
      </w:r>
    </w:p>
    <w:p w14:paraId="09B14662">
      <w:pPr>
        <w:pStyle w:val="3"/>
        <w:spacing w:line="240" w:lineRule="auto"/>
        <w:rPr>
          <w:rFonts w:ascii="Times New Roman" w:hAnsi="Times New Roman" w:cs="Times New Roman"/>
          <w:sz w:val="24"/>
          <w:szCs w:val="24"/>
        </w:rPr>
      </w:pPr>
      <w:bookmarkStart w:id="26" w:name="_Toc8510"/>
      <w:bookmarkStart w:id="27" w:name="_Toc24643"/>
      <w:bookmarkStart w:id="28" w:name="_Toc205"/>
      <w:bookmarkStart w:id="29" w:name="_Toc220710782"/>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rPr>
        <w:t>Methodology</w:t>
      </w:r>
      <w:bookmarkEnd w:id="26"/>
      <w:bookmarkEnd w:id="27"/>
      <w:bookmarkEnd w:id="28"/>
      <w:bookmarkEnd w:id="29"/>
    </w:p>
    <w:p w14:paraId="70E5DA97">
      <w:pPr>
        <w:spacing w:line="240" w:lineRule="auto"/>
        <w:jc w:val="both"/>
        <w:rPr>
          <w:rFonts w:ascii="Times New Roman" w:hAnsi="Times New Roman"/>
          <w:szCs w:val="24"/>
        </w:rPr>
      </w:pPr>
      <w:r>
        <w:rPr>
          <w:rFonts w:ascii="Times New Roman" w:hAnsi="Times New Roman"/>
          <w:szCs w:val="24"/>
        </w:rPr>
        <w:t>The ESIA was undertaken at a level that was commensurate with the scale, complexity and sensitivity of the project. The key stages in the process included scoping, which includes key informant &amp; household consultations, impact assessment, mitigation, review, decision-making and monitoring, as part of the preparation of this project report.</w:t>
      </w:r>
    </w:p>
    <w:p w14:paraId="3CFFCD83">
      <w:pPr>
        <w:pStyle w:val="4"/>
        <w:numPr>
          <w:ilvl w:val="1"/>
          <w:numId w:val="18"/>
        </w:numPr>
        <w:shd w:val="clear" w:color="auto" w:fill="auto"/>
        <w:spacing w:line="240" w:lineRule="auto"/>
        <w:rPr>
          <w:rFonts w:ascii="Times New Roman" w:hAnsi="Times New Roman"/>
          <w:b/>
        </w:rPr>
      </w:pPr>
      <w:bookmarkStart w:id="30" w:name="_Toc10454"/>
      <w:bookmarkStart w:id="31" w:name="_Toc220710783"/>
      <w:bookmarkStart w:id="32" w:name="_Toc534725983"/>
      <w:bookmarkStart w:id="33" w:name="_Toc26357"/>
      <w:bookmarkStart w:id="34" w:name="_Toc512414057"/>
      <w:bookmarkStart w:id="35" w:name="_Toc491892836"/>
      <w:bookmarkStart w:id="36" w:name="_Toc31820"/>
      <w:r>
        <w:rPr>
          <w:rFonts w:ascii="Times New Roman" w:hAnsi="Times New Roman"/>
          <w:b/>
        </w:rPr>
        <w:t>1</w:t>
      </w:r>
      <w:r>
        <w:rPr>
          <w:rFonts w:ascii="Times New Roman" w:hAnsi="Times New Roman"/>
          <w:b/>
        </w:rPr>
        <w:tab/>
      </w:r>
      <w:r>
        <w:rPr>
          <w:rFonts w:ascii="Times New Roman" w:hAnsi="Times New Roman"/>
          <w:b/>
        </w:rPr>
        <w:t>Environment and Social Scoping</w:t>
      </w:r>
      <w:bookmarkEnd w:id="30"/>
      <w:bookmarkEnd w:id="31"/>
      <w:bookmarkEnd w:id="32"/>
      <w:bookmarkEnd w:id="33"/>
      <w:bookmarkEnd w:id="34"/>
      <w:bookmarkEnd w:id="35"/>
      <w:bookmarkEnd w:id="36"/>
    </w:p>
    <w:p w14:paraId="3C7C01C4">
      <w:pPr>
        <w:spacing w:line="240" w:lineRule="auto"/>
        <w:jc w:val="both"/>
        <w:rPr>
          <w:rFonts w:ascii="Times New Roman" w:hAnsi="Times New Roman"/>
          <w:szCs w:val="24"/>
        </w:rPr>
      </w:pPr>
      <w:r>
        <w:rPr>
          <w:rFonts w:ascii="Times New Roman" w:hAnsi="Times New Roman"/>
          <w:szCs w:val="24"/>
        </w:rPr>
        <w:t xml:space="preserve">The scoping process involved the identification of significant environmental and social issues associated with the proposed Works within target locations in the Project area and to share this information with the relevant stakeholders to ensure that identified issues are reflecting the nature of issues on the ground. ESIA Scoping was achieved through reviews of the secondary documents and available data supported with field evaluations. The information was discussed with officials of KIMAWASCO and was employed in the initial determination of the location of the sites for the Ablution block. </w:t>
      </w:r>
    </w:p>
    <w:p w14:paraId="7C5C9A9C">
      <w:pPr>
        <w:pStyle w:val="4"/>
        <w:numPr>
          <w:ilvl w:val="2"/>
          <w:numId w:val="19"/>
        </w:numPr>
        <w:shd w:val="clear" w:color="auto" w:fill="auto"/>
        <w:spacing w:line="240" w:lineRule="auto"/>
        <w:rPr>
          <w:rFonts w:ascii="Times New Roman" w:hAnsi="Times New Roman"/>
          <w:b/>
        </w:rPr>
      </w:pPr>
      <w:bookmarkStart w:id="37" w:name="_Toc23335"/>
      <w:bookmarkStart w:id="38" w:name="_Toc491892839"/>
      <w:bookmarkStart w:id="39" w:name="_Toc220710784"/>
      <w:bookmarkStart w:id="40" w:name="_Toc17650"/>
      <w:bookmarkStart w:id="41" w:name="_Toc150"/>
      <w:bookmarkStart w:id="42" w:name="_Toc512414060"/>
      <w:bookmarkStart w:id="43" w:name="_Toc534725986"/>
      <w:r>
        <w:rPr>
          <w:rFonts w:ascii="Times New Roman" w:hAnsi="Times New Roman"/>
          <w:b/>
        </w:rPr>
        <w:t>Stakeholder Consultations</w:t>
      </w:r>
      <w:bookmarkEnd w:id="37"/>
      <w:bookmarkEnd w:id="38"/>
      <w:bookmarkEnd w:id="39"/>
      <w:bookmarkEnd w:id="40"/>
      <w:bookmarkEnd w:id="41"/>
      <w:r>
        <w:rPr>
          <w:rFonts w:ascii="Times New Roman" w:hAnsi="Times New Roman"/>
          <w:b/>
        </w:rPr>
        <w:t xml:space="preserve"> </w:t>
      </w:r>
      <w:bookmarkEnd w:id="42"/>
      <w:bookmarkEnd w:id="43"/>
    </w:p>
    <w:p w14:paraId="07A44DC8">
      <w:pPr>
        <w:spacing w:line="240" w:lineRule="auto"/>
        <w:jc w:val="both"/>
        <w:rPr>
          <w:rFonts w:ascii="Times New Roman" w:hAnsi="Times New Roman"/>
          <w:szCs w:val="24"/>
        </w:rPr>
      </w:pPr>
      <w:r>
        <w:rPr>
          <w:rFonts w:ascii="Times New Roman" w:hAnsi="Times New Roman"/>
          <w:szCs w:val="24"/>
        </w:rPr>
        <w:t>Informing and consulting the public are integral tasks within any environmental assessment process in Kenya and form part of best practice. Accordingly, the TOR required the ESIA expert to organise and implement a public consultation exercise in undertaking the ESIA process. Informing the local people, leaders and key stakeholders about the proposed project was carried out through community consultative meeting. A public participation meeting was held on 5</w:t>
      </w:r>
      <w:r>
        <w:rPr>
          <w:rFonts w:ascii="Times New Roman" w:hAnsi="Times New Roman"/>
          <w:szCs w:val="24"/>
          <w:vertAlign w:val="superscript"/>
        </w:rPr>
        <w:t>th</w:t>
      </w:r>
      <w:r>
        <w:rPr>
          <w:rFonts w:ascii="Times New Roman" w:hAnsi="Times New Roman"/>
          <w:szCs w:val="24"/>
        </w:rPr>
        <w:t xml:space="preserve"> December, 2025. </w:t>
      </w:r>
    </w:p>
    <w:p w14:paraId="4548B5EA">
      <w:pPr>
        <w:spacing w:line="240" w:lineRule="auto"/>
        <w:jc w:val="both"/>
        <w:rPr>
          <w:rFonts w:ascii="Times New Roman" w:hAnsi="Times New Roman"/>
          <w:szCs w:val="24"/>
        </w:rPr>
      </w:pPr>
      <w:r>
        <w:rPr>
          <w:rFonts w:ascii="Times New Roman" w:hAnsi="Times New Roman"/>
          <w:szCs w:val="24"/>
        </w:rPr>
        <w:t>The stakeholders involved include the staff of KIMAWASCO and residents living near the</w:t>
      </w:r>
      <w:r>
        <w:rPr>
          <w:rFonts w:ascii="Times New Roman" w:hAnsi="Times New Roman"/>
          <w:szCs w:val="24"/>
          <w:lang w:val="en-US"/>
        </w:rPr>
        <w:t xml:space="preserve"> sub - project</w:t>
      </w:r>
      <w:r>
        <w:rPr>
          <w:rFonts w:ascii="Times New Roman" w:hAnsi="Times New Roman"/>
          <w:szCs w:val="24"/>
        </w:rPr>
        <w:t xml:space="preserve"> site, the Ministry of Interior represented by the chief. They were taken through the proposed project, including its objectives, technologies of implementation, and possible impacts associated with the project's implementation. Stakeholders were then given time to ask relevant questions regarding the proposed project to enable the experts to clarify on any issues that they may not have understood properly </w:t>
      </w:r>
      <w:r>
        <w:rPr>
          <w:rFonts w:ascii="Times New Roman" w:hAnsi="Times New Roman"/>
          <w:b/>
          <w:bCs/>
          <w:i/>
          <w:iCs/>
          <w:szCs w:val="24"/>
        </w:rPr>
        <w:t>(Minutes attached in the appendix).</w:t>
      </w:r>
    </w:p>
    <w:p w14:paraId="1177BE0F">
      <w:pPr>
        <w:pStyle w:val="4"/>
        <w:numPr>
          <w:ilvl w:val="1"/>
          <w:numId w:val="19"/>
        </w:numPr>
        <w:shd w:val="clear" w:color="auto" w:fill="auto"/>
        <w:spacing w:line="240" w:lineRule="auto"/>
        <w:rPr>
          <w:rFonts w:ascii="Times New Roman" w:hAnsi="Times New Roman"/>
          <w:b/>
        </w:rPr>
      </w:pPr>
      <w:bookmarkStart w:id="44" w:name="_Toc24053"/>
      <w:bookmarkStart w:id="45" w:name="_Toc8663"/>
      <w:bookmarkStart w:id="46" w:name="_Toc2128"/>
      <w:bookmarkStart w:id="47" w:name="_Toc220710785"/>
      <w:r>
        <w:rPr>
          <w:rFonts w:ascii="Times New Roman" w:hAnsi="Times New Roman"/>
          <w:b/>
        </w:rPr>
        <w:t>Socio-economic Assessment</w:t>
      </w:r>
      <w:bookmarkEnd w:id="44"/>
      <w:bookmarkEnd w:id="45"/>
      <w:bookmarkEnd w:id="46"/>
      <w:bookmarkEnd w:id="47"/>
    </w:p>
    <w:p w14:paraId="39C2F614">
      <w:pPr>
        <w:spacing w:line="240" w:lineRule="auto"/>
        <w:jc w:val="both"/>
        <w:rPr>
          <w:rFonts w:ascii="Times New Roman" w:hAnsi="Times New Roman"/>
          <w:szCs w:val="24"/>
        </w:rPr>
      </w:pPr>
      <w:r>
        <w:rPr>
          <w:rFonts w:ascii="Times New Roman" w:hAnsi="Times New Roman"/>
          <w:szCs w:val="24"/>
        </w:rPr>
        <w:t>The purpose of the socio-economic assessment was to analyse the social, cultural, economic and political conditions of individuals, groups, communities and organisations in the project area.</w:t>
      </w:r>
    </w:p>
    <w:p w14:paraId="076732B0">
      <w:pPr>
        <w:spacing w:line="240" w:lineRule="auto"/>
        <w:jc w:val="both"/>
        <w:rPr>
          <w:rFonts w:ascii="Times New Roman" w:hAnsi="Times New Roman"/>
          <w:szCs w:val="24"/>
        </w:rPr>
      </w:pPr>
      <w:r>
        <w:rPr>
          <w:rFonts w:ascii="Times New Roman" w:hAnsi="Times New Roman"/>
          <w:szCs w:val="24"/>
        </w:rPr>
        <w:t>A survey was done through administering questionnaires to the target respondents with the help of local enumerators.  A sample size of approximately 30 households, selected through random sampling, was interviewed for purposes of the analysis. A sample of the Questionnaires filled by the respondents has been included in Appendix C of this report.</w:t>
      </w:r>
    </w:p>
    <w:p w14:paraId="1D10401D">
      <w:pPr>
        <w:spacing w:line="240" w:lineRule="auto"/>
        <w:rPr>
          <w:rFonts w:ascii="Times New Roman" w:hAnsi="Times New Roman"/>
          <w:szCs w:val="24"/>
        </w:rPr>
      </w:pPr>
      <w:r>
        <w:rPr>
          <w:rFonts w:ascii="Times New Roman" w:hAnsi="Times New Roman"/>
          <w:szCs w:val="24"/>
        </w:rPr>
        <w:t>Key parameters explored with the use of the questionnaires included:</w:t>
      </w:r>
    </w:p>
    <w:p w14:paraId="13785887">
      <w:pPr>
        <w:pStyle w:val="32"/>
        <w:numPr>
          <w:ilvl w:val="0"/>
          <w:numId w:val="20"/>
        </w:numPr>
        <w:spacing w:line="240" w:lineRule="auto"/>
        <w:rPr>
          <w:rFonts w:ascii="Times New Roman" w:hAnsi="Times New Roman"/>
          <w:szCs w:val="24"/>
        </w:rPr>
      </w:pPr>
      <w:r>
        <w:rPr>
          <w:rFonts w:ascii="Times New Roman" w:hAnsi="Times New Roman"/>
          <w:szCs w:val="24"/>
        </w:rPr>
        <w:t>Resource use patterns</w:t>
      </w:r>
    </w:p>
    <w:p w14:paraId="0AE8EB2B">
      <w:pPr>
        <w:pStyle w:val="32"/>
        <w:numPr>
          <w:ilvl w:val="0"/>
          <w:numId w:val="20"/>
        </w:numPr>
        <w:spacing w:line="240" w:lineRule="auto"/>
        <w:rPr>
          <w:rFonts w:ascii="Times New Roman" w:hAnsi="Times New Roman"/>
          <w:szCs w:val="24"/>
        </w:rPr>
      </w:pPr>
      <w:r>
        <w:rPr>
          <w:rFonts w:ascii="Times New Roman" w:hAnsi="Times New Roman"/>
          <w:szCs w:val="24"/>
        </w:rPr>
        <w:t>Stakeholder characteristics</w:t>
      </w:r>
    </w:p>
    <w:p w14:paraId="249285F9">
      <w:pPr>
        <w:pStyle w:val="32"/>
        <w:numPr>
          <w:ilvl w:val="0"/>
          <w:numId w:val="20"/>
        </w:numPr>
        <w:spacing w:line="240" w:lineRule="auto"/>
        <w:rPr>
          <w:rFonts w:ascii="Times New Roman" w:hAnsi="Times New Roman"/>
          <w:szCs w:val="24"/>
        </w:rPr>
      </w:pPr>
      <w:r>
        <w:rPr>
          <w:rFonts w:ascii="Times New Roman" w:hAnsi="Times New Roman"/>
          <w:szCs w:val="24"/>
        </w:rPr>
        <w:t>Gender issues</w:t>
      </w:r>
    </w:p>
    <w:p w14:paraId="242A6186">
      <w:pPr>
        <w:pStyle w:val="32"/>
        <w:numPr>
          <w:ilvl w:val="0"/>
          <w:numId w:val="20"/>
        </w:numPr>
        <w:spacing w:line="240" w:lineRule="auto"/>
        <w:rPr>
          <w:rFonts w:ascii="Times New Roman" w:hAnsi="Times New Roman"/>
          <w:szCs w:val="24"/>
        </w:rPr>
      </w:pPr>
      <w:r>
        <w:rPr>
          <w:rFonts w:ascii="Times New Roman" w:hAnsi="Times New Roman"/>
          <w:szCs w:val="24"/>
        </w:rPr>
        <w:t>Stakeholder perceptions</w:t>
      </w:r>
    </w:p>
    <w:p w14:paraId="08EC10C6">
      <w:pPr>
        <w:pStyle w:val="32"/>
        <w:numPr>
          <w:ilvl w:val="0"/>
          <w:numId w:val="20"/>
        </w:numPr>
        <w:spacing w:line="240" w:lineRule="auto"/>
        <w:rPr>
          <w:rFonts w:ascii="Times New Roman" w:hAnsi="Times New Roman"/>
          <w:szCs w:val="24"/>
        </w:rPr>
      </w:pPr>
      <w:r>
        <w:rPr>
          <w:rFonts w:ascii="Times New Roman" w:hAnsi="Times New Roman"/>
          <w:szCs w:val="24"/>
        </w:rPr>
        <w:t>Organisation and resource governance</w:t>
      </w:r>
    </w:p>
    <w:p w14:paraId="634C2D28">
      <w:pPr>
        <w:pStyle w:val="32"/>
        <w:numPr>
          <w:ilvl w:val="0"/>
          <w:numId w:val="20"/>
        </w:numPr>
        <w:spacing w:line="240" w:lineRule="auto"/>
        <w:rPr>
          <w:rFonts w:ascii="Times New Roman" w:hAnsi="Times New Roman"/>
          <w:szCs w:val="24"/>
        </w:rPr>
      </w:pPr>
      <w:r>
        <w:rPr>
          <w:rFonts w:ascii="Times New Roman" w:hAnsi="Times New Roman"/>
          <w:szCs w:val="24"/>
        </w:rPr>
        <w:t>Community services and facilities</w:t>
      </w:r>
    </w:p>
    <w:p w14:paraId="7C6D3E54">
      <w:pPr>
        <w:spacing w:line="240" w:lineRule="auto"/>
        <w:jc w:val="both"/>
        <w:rPr>
          <w:rFonts w:ascii="Times New Roman" w:hAnsi="Times New Roman"/>
          <w:szCs w:val="24"/>
        </w:rPr>
      </w:pPr>
      <w:r>
        <w:rPr>
          <w:rFonts w:ascii="Times New Roman" w:hAnsi="Times New Roman"/>
          <w:szCs w:val="24"/>
        </w:rPr>
        <w:t xml:space="preserve">This information was augmented with information gathered during the public participation meetings. </w:t>
      </w:r>
    </w:p>
    <w:p w14:paraId="05FD24D0">
      <w:pPr>
        <w:spacing w:line="240" w:lineRule="auto"/>
        <w:jc w:val="both"/>
        <w:rPr>
          <w:rFonts w:ascii="Times New Roman" w:hAnsi="Times New Roman"/>
          <w:szCs w:val="24"/>
        </w:rPr>
      </w:pPr>
      <w:r>
        <w:rPr>
          <w:rFonts w:ascii="Times New Roman" w:hAnsi="Times New Roman"/>
          <w:szCs w:val="24"/>
        </w:rPr>
        <w:br w:type="page"/>
      </w:r>
    </w:p>
    <w:p w14:paraId="5B7A029F">
      <w:pPr>
        <w:pStyle w:val="2"/>
        <w:numPr>
          <w:ilvl w:val="0"/>
          <w:numId w:val="19"/>
        </w:numPr>
        <w:shd w:val="clear" w:color="auto" w:fill="auto"/>
        <w:spacing w:line="240" w:lineRule="auto"/>
        <w:rPr>
          <w:rFonts w:ascii="Times New Roman" w:hAnsi="Times New Roman"/>
          <w:szCs w:val="24"/>
        </w:rPr>
      </w:pPr>
      <w:bookmarkStart w:id="48" w:name="_Toc18956"/>
      <w:bookmarkStart w:id="49" w:name="_Toc14887"/>
      <w:bookmarkStart w:id="50" w:name="_Toc27855"/>
      <w:bookmarkStart w:id="51" w:name="_Toc220710786"/>
      <w:r>
        <w:rPr>
          <w:rFonts w:ascii="Times New Roman" w:hAnsi="Times New Roman"/>
          <w:szCs w:val="24"/>
        </w:rPr>
        <w:t>PROPOSED PROJECT DESCRIPTION</w:t>
      </w:r>
      <w:bookmarkEnd w:id="48"/>
      <w:bookmarkEnd w:id="49"/>
      <w:bookmarkEnd w:id="50"/>
      <w:bookmarkEnd w:id="51"/>
    </w:p>
    <w:p w14:paraId="72C37D67">
      <w:pPr>
        <w:pStyle w:val="3"/>
        <w:pBdr>
          <w:bottom w:val="none" w:color="auto" w:sz="0" w:space="0"/>
        </w:pBdr>
        <w:rPr>
          <w:rFonts w:ascii="Times New Roman" w:hAnsi="Times New Roman" w:cs="Times New Roman"/>
          <w:sz w:val="24"/>
          <w:szCs w:val="24"/>
        </w:rPr>
      </w:pPr>
      <w:bookmarkStart w:id="52" w:name="_Toc23822"/>
      <w:bookmarkStart w:id="53" w:name="_Toc13561"/>
      <w:bookmarkStart w:id="54" w:name="_Toc23116"/>
      <w:bookmarkStart w:id="55" w:name="_Toc220710787"/>
      <w:r>
        <w:rPr>
          <w:rFonts w:ascii="Times New Roman" w:hAnsi="Times New Roman" w:cs="Times New Roman"/>
          <w:sz w:val="24"/>
          <w:szCs w:val="24"/>
        </w:rPr>
        <w:t>2.1</w:t>
      </w:r>
      <w:r>
        <w:rPr>
          <w:rFonts w:ascii="Times New Roman" w:hAnsi="Times New Roman" w:cs="Times New Roman"/>
          <w:sz w:val="24"/>
          <w:szCs w:val="24"/>
        </w:rPr>
        <w:tab/>
      </w:r>
      <w:bookmarkEnd w:id="52"/>
      <w:bookmarkEnd w:id="53"/>
      <w:bookmarkEnd w:id="54"/>
      <w:bookmarkStart w:id="56" w:name="_Toc192243426"/>
      <w:bookmarkEnd w:id="56"/>
      <w:bookmarkStart w:id="57" w:name="_Toc192242445"/>
      <w:bookmarkEnd w:id="57"/>
      <w:bookmarkStart w:id="58" w:name="_Toc192150809"/>
      <w:bookmarkEnd w:id="58"/>
      <w:bookmarkStart w:id="59" w:name="_Toc192242444"/>
      <w:bookmarkEnd w:id="59"/>
      <w:bookmarkStart w:id="60" w:name="_Toc192150808"/>
      <w:bookmarkEnd w:id="60"/>
      <w:bookmarkStart w:id="61" w:name="_Toc192244172"/>
      <w:bookmarkEnd w:id="61"/>
      <w:bookmarkStart w:id="62" w:name="_Toc192253496"/>
      <w:bookmarkEnd w:id="62"/>
      <w:bookmarkStart w:id="63" w:name="_Toc192244171"/>
      <w:bookmarkEnd w:id="63"/>
      <w:bookmarkStart w:id="64" w:name="_Toc192150810"/>
      <w:bookmarkEnd w:id="64"/>
      <w:bookmarkStart w:id="65" w:name="_Toc192242443"/>
      <w:bookmarkEnd w:id="65"/>
      <w:bookmarkStart w:id="66" w:name="_Toc192244173"/>
      <w:bookmarkEnd w:id="66"/>
      <w:bookmarkStart w:id="67" w:name="_Toc192243428"/>
      <w:bookmarkEnd w:id="67"/>
      <w:bookmarkStart w:id="68" w:name="_Toc192253497"/>
      <w:bookmarkEnd w:id="68"/>
      <w:bookmarkStart w:id="69" w:name="_Toc192253498"/>
      <w:bookmarkEnd w:id="69"/>
      <w:bookmarkStart w:id="70" w:name="_Toc192243427"/>
      <w:bookmarkEnd w:id="70"/>
      <w:bookmarkStart w:id="71" w:name="_Toc18424"/>
      <w:bookmarkStart w:id="72" w:name="_Toc6239"/>
      <w:bookmarkStart w:id="73" w:name="_Toc12148"/>
      <w:r>
        <w:rPr>
          <w:rFonts w:ascii="Times New Roman" w:hAnsi="Times New Roman" w:cs="Times New Roman"/>
          <w:sz w:val="24"/>
          <w:szCs w:val="24"/>
        </w:rPr>
        <w:t>background to the proposed project</w:t>
      </w:r>
      <w:bookmarkEnd w:id="55"/>
      <w:bookmarkEnd w:id="71"/>
      <w:bookmarkEnd w:id="72"/>
      <w:bookmarkEnd w:id="73"/>
    </w:p>
    <w:p w14:paraId="50AECAFC">
      <w:pPr>
        <w:pStyle w:val="17"/>
        <w:spacing w:before="0" w:beforeAutospacing="0" w:after="0" w:afterAutospacing="0"/>
        <w:jc w:val="both"/>
      </w:pPr>
      <w:r>
        <w:t>The Kilifi-Mariakani Water and Sewerage Company (KIMAWASCO) is mandated to provide reliable, safe, and accessible water and sanitation services to residents within its service area. The company’s head office in Kilifi North Sub-County serves as the central administrative hub where staff, customers, partners, and members of the public regularly visit to access various services, including customer care, billing, technical support, and management consultations.</w:t>
      </w:r>
    </w:p>
    <w:p w14:paraId="5CADF50B">
      <w:pPr>
        <w:pStyle w:val="17"/>
        <w:jc w:val="both"/>
      </w:pPr>
      <w:r>
        <w:t>Currently, the head office lacks a dedicated and adequately designed ablution block that meets the sanitation needs of both staff and visitors. The existing facilities are either insufficient, outdated, or unable to cope with the increasing number of users. This situation has led to challenges such as congestion, reduced hygiene standards, and inconvenience for office staff and clients.</w:t>
      </w:r>
    </w:p>
    <w:p w14:paraId="189E9C7D">
      <w:pPr>
        <w:pStyle w:val="17"/>
        <w:jc w:val="both"/>
      </w:pPr>
      <w:r>
        <w:t>As part of its commitment to improving workplace conditions and enhancing customer service, KIMAWASCO proposes the construction of a modern ablution block within the head office premises. The project aims to improve sanitation, promote public health, comply with national health and safety standards, and create a more conducive environment for employees and visitors.</w:t>
      </w:r>
    </w:p>
    <w:p w14:paraId="17E613B2">
      <w:pPr>
        <w:pStyle w:val="17"/>
        <w:spacing w:before="0" w:beforeAutospacing="0" w:after="0" w:afterAutospacing="0"/>
        <w:jc w:val="both"/>
      </w:pPr>
      <w:r>
        <w:t>The proposed ablution block will enhance the overall efficiency of the head office by providing clean, safe, and accessible sanitation facilities. It will support KIMAWASCO’s long-term goal of strengthening corporate image, ensuring environmental compliance, and promoting dignity and comfort for all facility users.</w:t>
      </w:r>
      <w:bookmarkStart w:id="74" w:name="_Toc21068"/>
      <w:bookmarkStart w:id="75" w:name="_Toc23253"/>
      <w:bookmarkStart w:id="76" w:name="_Toc27041"/>
    </w:p>
    <w:p w14:paraId="708E548D">
      <w:pPr>
        <w:pStyle w:val="3"/>
        <w:pBdr>
          <w:bottom w:val="none" w:color="auto" w:sz="0" w:space="0"/>
        </w:pBdr>
        <w:rPr>
          <w:rFonts w:ascii="Times New Roman" w:hAnsi="Times New Roman" w:cs="Times New Roman"/>
          <w:sz w:val="24"/>
          <w:szCs w:val="24"/>
        </w:rPr>
      </w:pPr>
      <w:bookmarkStart w:id="77" w:name="_Toc220710788"/>
      <w:r>
        <w:rPr>
          <w:rFonts w:ascii="Times New Roman" w:hAnsi="Times New Roman" w:cs="Times New Roman"/>
          <w:sz w:val="24"/>
          <w:szCs w:val="24"/>
        </w:rPr>
        <w:t>2.2</w:t>
      </w:r>
      <w:r>
        <w:rPr>
          <w:rFonts w:ascii="Times New Roman" w:hAnsi="Times New Roman" w:cs="Times New Roman"/>
          <w:sz w:val="24"/>
          <w:szCs w:val="24"/>
        </w:rPr>
        <w:tab/>
      </w:r>
      <w:r>
        <w:rPr>
          <w:rFonts w:ascii="Times New Roman" w:hAnsi="Times New Roman" w:cs="Times New Roman"/>
          <w:sz w:val="24"/>
          <w:szCs w:val="24"/>
        </w:rPr>
        <w:t>Location for the Office Site ablution block</w:t>
      </w:r>
      <w:bookmarkEnd w:id="74"/>
      <w:bookmarkEnd w:id="75"/>
      <w:bookmarkEnd w:id="76"/>
      <w:bookmarkEnd w:id="77"/>
    </w:p>
    <w:p w14:paraId="1F4E8A9A">
      <w:pPr>
        <w:pStyle w:val="17"/>
        <w:spacing w:before="0" w:beforeAutospacing="0" w:after="0" w:afterAutospacing="0"/>
        <w:jc w:val="both"/>
      </w:pPr>
      <w:r>
        <w:t xml:space="preserve">The </w:t>
      </w:r>
      <w:r>
        <w:rPr>
          <w:rStyle w:val="18"/>
          <w:b w:val="0"/>
          <w:bCs w:val="0"/>
        </w:rPr>
        <w:t>Office Site Ablution Block</w:t>
      </w:r>
      <w:r>
        <w:t xml:space="preserve"> is located </w:t>
      </w:r>
      <w:r>
        <w:rPr>
          <w:rStyle w:val="18"/>
          <w:b w:val="0"/>
          <w:bCs w:val="0"/>
        </w:rPr>
        <w:t>within the KIMAWASCO Headquarters compound in Kilifi Town</w:t>
      </w:r>
      <w:r>
        <w:t xml:space="preserve">, positioned close to the main administrative offices and workshop area. The site lies </w:t>
      </w:r>
      <w:r>
        <w:rPr>
          <w:rStyle w:val="18"/>
          <w:b w:val="0"/>
          <w:bCs w:val="0"/>
        </w:rPr>
        <w:t>off the Mombasa–Malindi Highway</w:t>
      </w:r>
      <w:r>
        <w:t xml:space="preserve">, within the secured KIMAWASCO premises, ensuring convenient access for staff and visitors. </w:t>
      </w:r>
      <w:r>
        <w:rPr>
          <w:b/>
          <w:bCs/>
          <w:i/>
          <w:iCs/>
        </w:rPr>
        <w:t>(</w:t>
      </w:r>
      <w:r>
        <w:rPr>
          <w:b/>
          <w:bCs/>
          <w:i/>
          <w:iCs/>
          <w:highlight w:val="magenta"/>
        </w:rPr>
        <w:t>site plan attached)</w:t>
      </w:r>
    </w:p>
    <w:p w14:paraId="232806A5">
      <w:pPr>
        <w:keepNext/>
        <w:spacing w:line="240" w:lineRule="auto"/>
        <w:jc w:val="center"/>
        <w:rPr>
          <w:rFonts w:ascii="Times New Roman" w:hAnsi="Times New Roman"/>
        </w:rPr>
      </w:pPr>
      <w:r>
        <w:rPr>
          <w:rFonts w:ascii="Times New Roman" w:hAnsi="Times New Roman"/>
          <w:szCs w:val="24"/>
        </w:rPr>
        <w:drawing>
          <wp:inline distT="0" distB="0" distL="114300" distR="114300">
            <wp:extent cx="3354705" cy="2515870"/>
            <wp:effectExtent l="0" t="0" r="0" b="0"/>
            <wp:docPr id="110" name="Picture 110" descr="WhatsApp Image 2025-12-11 at 07.2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WhatsApp Image 2025-12-11 at 07.20.09(1)"/>
                    <pic:cNvPicPr>
                      <a:picLocks noChangeAspect="1"/>
                    </pic:cNvPicPr>
                  </pic:nvPicPr>
                  <pic:blipFill>
                    <a:blip r:embed="rId25"/>
                    <a:stretch>
                      <a:fillRect/>
                    </a:stretch>
                  </pic:blipFill>
                  <pic:spPr>
                    <a:xfrm>
                      <a:off x="0" y="0"/>
                      <a:ext cx="3355200" cy="2516400"/>
                    </a:xfrm>
                    <a:prstGeom prst="rect">
                      <a:avLst/>
                    </a:prstGeom>
                  </pic:spPr>
                </pic:pic>
              </a:graphicData>
            </a:graphic>
          </wp:inline>
        </w:drawing>
      </w:r>
    </w:p>
    <w:p w14:paraId="5193B378">
      <w:pPr>
        <w:pStyle w:val="10"/>
        <w:jc w:val="center"/>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1</w:t>
      </w:r>
      <w:r>
        <w:rPr>
          <w:rFonts w:ascii="Times New Roman" w:hAnsi="Times New Roman"/>
          <w:color w:val="auto"/>
        </w:rPr>
        <w:fldChar w:fldCharType="end"/>
      </w:r>
      <w:r>
        <w:rPr>
          <w:rFonts w:ascii="Times New Roman" w:hAnsi="Times New Roman"/>
          <w:color w:val="auto"/>
        </w:rPr>
        <w:t xml:space="preserve"> Site for the proposed ablution block.</w:t>
      </w:r>
    </w:p>
    <w:p w14:paraId="2A58E008">
      <w:pPr>
        <w:pStyle w:val="17"/>
        <w:jc w:val="both"/>
      </w:pPr>
      <w:r>
        <w:t xml:space="preserve">The chosen location is central, easily accessible, and strategically placed to serve individuals working within or visiting the main office, without interfering with vehicle movement, operations, or service delivery at the headquarters. </w:t>
      </w:r>
      <w:r>
        <w:rPr>
          <w:b/>
          <w:bCs/>
          <w:i/>
          <w:iCs/>
          <w:highlight w:val="magenta"/>
        </w:rPr>
        <w:t>(Approved PDP for the site  is attached in Appendix D.)</w:t>
      </w:r>
      <w:r>
        <w:rPr>
          <w:b/>
          <w:bCs/>
          <w:i/>
          <w:iCs/>
        </w:rPr>
        <w:t xml:space="preserve"> </w:t>
      </w:r>
      <w:r>
        <w:t>The GPS location of the proposed ablution block as shown below:</w:t>
      </w:r>
    </w:p>
    <w:p w14:paraId="2E9759CA">
      <w:pPr>
        <w:spacing w:after="0" w:line="240" w:lineRule="auto"/>
        <w:rPr>
          <w:rFonts w:ascii="Times New Roman" w:hAnsi="Times New Roman"/>
          <w:szCs w:val="24"/>
        </w:rPr>
      </w:pPr>
    </w:p>
    <w:p w14:paraId="7F5C6DC6">
      <w:pPr>
        <w:keepNext/>
        <w:spacing w:after="0" w:line="240" w:lineRule="auto"/>
        <w:rPr>
          <w:rFonts w:ascii="Times New Roman" w:hAnsi="Times New Roman"/>
        </w:rPr>
      </w:pPr>
      <w:r>
        <w:drawing>
          <wp:inline distT="0" distB="0" distL="0" distR="0">
            <wp:extent cx="5731510" cy="3243580"/>
            <wp:effectExtent l="0" t="0" r="2540" b="0"/>
            <wp:docPr id="1415035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5895" name="Picture 1"/>
                    <pic:cNvPicPr>
                      <a:picLocks noChangeAspect="1"/>
                    </pic:cNvPicPr>
                  </pic:nvPicPr>
                  <pic:blipFill>
                    <a:blip r:embed="rId26"/>
                    <a:stretch>
                      <a:fillRect/>
                    </a:stretch>
                  </pic:blipFill>
                  <pic:spPr>
                    <a:xfrm>
                      <a:off x="0" y="0"/>
                      <a:ext cx="5734341" cy="3245545"/>
                    </a:xfrm>
                    <a:prstGeom prst="rect">
                      <a:avLst/>
                    </a:prstGeom>
                  </pic:spPr>
                </pic:pic>
              </a:graphicData>
            </a:graphic>
          </wp:inline>
        </w:drawing>
      </w:r>
    </w:p>
    <w:p w14:paraId="17EC4B81">
      <w:pPr>
        <w:pStyle w:val="10"/>
        <w:rPr>
          <w:rFonts w:ascii="Times New Roman" w:hAnsi="Times New Roman"/>
          <w:b/>
          <w:bCs/>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2</w:t>
      </w:r>
      <w:r>
        <w:rPr>
          <w:rFonts w:ascii="Times New Roman" w:hAnsi="Times New Roman"/>
          <w:color w:val="auto"/>
        </w:rPr>
        <w:fldChar w:fldCharType="end"/>
      </w:r>
      <w:r>
        <w:rPr>
          <w:rFonts w:ascii="Times New Roman" w:hAnsi="Times New Roman"/>
          <w:color w:val="auto"/>
        </w:rPr>
        <w:t>:</w:t>
      </w:r>
      <w:r>
        <w:rPr>
          <w:rFonts w:ascii="Times New Roman" w:hAnsi="Times New Roman"/>
          <w:b/>
          <w:bCs/>
          <w:color w:val="auto"/>
        </w:rPr>
        <w:t xml:space="preserve"> KIMAWSCO Office, Kilifi at coordinates 3°37'42"S 39°50'53"E </w:t>
      </w:r>
    </w:p>
    <w:p w14:paraId="5F195007">
      <w:pPr>
        <w:pStyle w:val="3"/>
        <w:pBdr>
          <w:bottom w:val="none" w:color="auto" w:sz="0" w:space="0"/>
        </w:pBdr>
        <w:rPr>
          <w:rFonts w:ascii="Times New Roman" w:hAnsi="Times New Roman" w:cs="Times New Roman"/>
          <w:sz w:val="24"/>
          <w:szCs w:val="24"/>
        </w:rPr>
      </w:pPr>
      <w:bookmarkStart w:id="78" w:name="_Toc90"/>
      <w:bookmarkStart w:id="79" w:name="_Toc9632"/>
      <w:bookmarkStart w:id="80" w:name="_Ref41130087"/>
      <w:bookmarkStart w:id="81" w:name="_Toc28664"/>
      <w:bookmarkStart w:id="82" w:name="_Toc220710789"/>
      <w:r>
        <w:rPr>
          <w:rFonts w:ascii="Times New Roman" w:hAnsi="Times New Roman" w:cs="Times New Roman"/>
          <w:sz w:val="24"/>
          <w:szCs w:val="24"/>
        </w:rPr>
        <w:t>2.3</w:t>
      </w:r>
      <w:r>
        <w:rPr>
          <w:rFonts w:ascii="Times New Roman" w:hAnsi="Times New Roman" w:cs="Times New Roman"/>
          <w:sz w:val="24"/>
          <w:szCs w:val="24"/>
        </w:rPr>
        <w:tab/>
      </w:r>
      <w:r>
        <w:rPr>
          <w:rFonts w:ascii="Times New Roman" w:hAnsi="Times New Roman" w:cs="Times New Roman"/>
          <w:sz w:val="24"/>
          <w:szCs w:val="24"/>
        </w:rPr>
        <w:t xml:space="preserve">The </w:t>
      </w:r>
      <w:bookmarkEnd w:id="78"/>
      <w:bookmarkEnd w:id="79"/>
      <w:bookmarkEnd w:id="80"/>
      <w:bookmarkEnd w:id="81"/>
      <w:r>
        <w:rPr>
          <w:rFonts w:ascii="Times New Roman" w:hAnsi="Times New Roman" w:cs="Times New Roman"/>
          <w:sz w:val="24"/>
          <w:szCs w:val="24"/>
        </w:rPr>
        <w:t>Proposed project Components</w:t>
      </w:r>
      <w:bookmarkEnd w:id="82"/>
    </w:p>
    <w:p w14:paraId="69201746">
      <w:pPr>
        <w:pStyle w:val="8"/>
        <w:spacing w:after="0" w:line="240" w:lineRule="auto"/>
        <w:ind w:right="170" w:firstLine="6"/>
        <w:rPr>
          <w:rFonts w:ascii="Times New Roman" w:hAnsi="Times New Roman" w:cs="Times New Roman"/>
          <w:color w:val="auto"/>
          <w:sz w:val="24"/>
          <w:szCs w:val="24"/>
        </w:rPr>
      </w:pPr>
      <w:bookmarkStart w:id="83" w:name="_Hlk65671985"/>
      <w:r>
        <w:rPr>
          <w:rFonts w:ascii="Times New Roman" w:hAnsi="Times New Roman" w:cs="Times New Roman"/>
          <w:color w:val="auto"/>
          <w:sz w:val="24"/>
          <w:szCs w:val="24"/>
        </w:rPr>
        <w:t>The design of the proposed ablution block inside the KIMAWASCO Office is set to comprise of:</w:t>
      </w:r>
    </w:p>
    <w:p w14:paraId="0F29C681">
      <w:pPr>
        <w:pStyle w:val="32"/>
        <w:numPr>
          <w:ilvl w:val="0"/>
          <w:numId w:val="2"/>
        </w:numPr>
        <w:spacing w:line="240" w:lineRule="auto"/>
        <w:jc w:val="both"/>
        <w:rPr>
          <w:rFonts w:ascii="Times New Roman" w:hAnsi="Times New Roman"/>
          <w:szCs w:val="24"/>
        </w:rPr>
      </w:pPr>
      <w:r>
        <w:rPr>
          <w:rFonts w:ascii="Times New Roman" w:hAnsi="Times New Roman"/>
          <w:szCs w:val="24"/>
        </w:rPr>
        <w:t>8 Nr. Toilets; 4 Nr Male and 4 Nr. Female</w:t>
      </w:r>
    </w:p>
    <w:p w14:paraId="50B0EFD2">
      <w:pPr>
        <w:pStyle w:val="32"/>
        <w:numPr>
          <w:ilvl w:val="0"/>
          <w:numId w:val="2"/>
        </w:numPr>
        <w:spacing w:line="240" w:lineRule="auto"/>
        <w:jc w:val="both"/>
        <w:rPr>
          <w:rFonts w:ascii="Times New Roman" w:hAnsi="Times New Roman"/>
          <w:szCs w:val="24"/>
        </w:rPr>
      </w:pPr>
      <w:r>
        <w:rPr>
          <w:rFonts w:ascii="Times New Roman" w:hAnsi="Times New Roman"/>
          <w:szCs w:val="24"/>
        </w:rPr>
        <w:t>4 Nr. Shower Rooms; 2 for each Gender.</w:t>
      </w:r>
    </w:p>
    <w:p w14:paraId="2EED2488">
      <w:pPr>
        <w:pStyle w:val="32"/>
        <w:numPr>
          <w:ilvl w:val="0"/>
          <w:numId w:val="2"/>
        </w:numPr>
        <w:spacing w:line="240" w:lineRule="auto"/>
        <w:jc w:val="both"/>
        <w:rPr>
          <w:rFonts w:ascii="Times New Roman" w:hAnsi="Times New Roman"/>
          <w:szCs w:val="24"/>
        </w:rPr>
      </w:pPr>
      <w:r>
        <w:rPr>
          <w:rFonts w:ascii="Times New Roman" w:hAnsi="Times New Roman"/>
          <w:szCs w:val="24"/>
        </w:rPr>
        <w:t>1 Nr. Storeroom</w:t>
      </w:r>
    </w:p>
    <w:p w14:paraId="5A9F35B2">
      <w:pPr>
        <w:pStyle w:val="8"/>
        <w:spacing w:before="193" w:line="240" w:lineRule="auto"/>
        <w:ind w:right="167" w:hanging="6"/>
        <w:rPr>
          <w:rFonts w:ascii="Times New Roman" w:hAnsi="Times New Roman" w:cs="Times New Roman"/>
          <w:color w:val="auto"/>
          <w:sz w:val="24"/>
          <w:szCs w:val="24"/>
        </w:rPr>
      </w:pPr>
      <w:r>
        <w:rPr>
          <w:rFonts w:ascii="Times New Roman" w:hAnsi="Times New Roman" w:cs="Times New Roman"/>
          <w:color w:val="auto"/>
          <w:sz w:val="24"/>
          <w:szCs w:val="24"/>
        </w:rPr>
        <w:t>Separate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urinals will be provided within the "gents" to increase the number of people that can use the facility especially during the peak hours.</w:t>
      </w:r>
    </w:p>
    <w:p w14:paraId="28DBC1A9">
      <w:pPr>
        <w:pStyle w:val="8"/>
        <w:spacing w:before="193" w:line="240" w:lineRule="auto"/>
        <w:ind w:right="168" w:firstLine="2"/>
        <w:rPr>
          <w:rFonts w:ascii="Times New Roman" w:hAnsi="Times New Roman" w:cs="Times New Roman"/>
          <w:color w:val="auto"/>
          <w:sz w:val="24"/>
          <w:szCs w:val="24"/>
        </w:rPr>
      </w:pPr>
      <w:r>
        <w:rPr>
          <w:rFonts w:ascii="Times New Roman" w:hAnsi="Times New Roman" w:cs="Times New Roman"/>
          <w:color w:val="auto"/>
          <w:sz w:val="24"/>
          <w:szCs w:val="24"/>
        </w:rPr>
        <w:t>A septic tank with a holding capacity of</w:t>
      </w:r>
      <w:r>
        <w:rPr>
          <w:rFonts w:ascii="Times New Roman" w:hAnsi="Times New Roman" w:cs="Times New Roman"/>
          <w:color w:val="auto"/>
          <w:spacing w:val="-6"/>
          <w:sz w:val="24"/>
          <w:szCs w:val="24"/>
        </w:rPr>
        <w:t xml:space="preserve"> </w:t>
      </w:r>
      <w:r>
        <w:rPr>
          <w:rFonts w:ascii="Times New Roman" w:hAnsi="Times New Roman" w:cs="Times New Roman"/>
          <w:color w:val="auto"/>
          <w:sz w:val="24"/>
          <w:szCs w:val="24"/>
        </w:rPr>
        <w:t xml:space="preserve">15.9 m3 will be connected to the facility for holding and partial treatment of sewage. This size of septic tank will require desludging after an interval of 3 </w:t>
      </w:r>
      <w:r>
        <w:rPr>
          <w:rFonts w:ascii="Times New Roman" w:hAnsi="Times New Roman" w:cs="Times New Roman"/>
          <w:color w:val="auto"/>
          <w:spacing w:val="-2"/>
          <w:sz w:val="24"/>
          <w:szCs w:val="24"/>
        </w:rPr>
        <w:t>months.</w:t>
      </w:r>
    </w:p>
    <w:p w14:paraId="2A983DA0">
      <w:pPr>
        <w:pStyle w:val="8"/>
        <w:spacing w:before="195" w:line="240" w:lineRule="auto"/>
        <w:ind w:right="174" w:hanging="3"/>
        <w:rPr>
          <w:rFonts w:ascii="Times New Roman" w:hAnsi="Times New Roman" w:cs="Times New Roman"/>
          <w:color w:val="auto"/>
          <w:sz w:val="24"/>
          <w:szCs w:val="24"/>
        </w:rPr>
      </w:pPr>
      <w:r>
        <w:rPr>
          <w:rFonts w:ascii="Times New Roman" w:hAnsi="Times New Roman" w:cs="Times New Roman"/>
          <w:color w:val="auto"/>
          <w:sz w:val="24"/>
          <w:szCs w:val="24"/>
        </w:rPr>
        <w:t>The project will provide a sheltered wheelchair access ramp featuring a protective superstructure and double-height grab rails for safety. All floor surfaces in these areas will specifically use non-slip tiles to prevent accidents.</w:t>
      </w:r>
    </w:p>
    <w:p w14:paraId="11A13BA0">
      <w:pPr>
        <w:pStyle w:val="8"/>
        <w:spacing w:before="195" w:line="240" w:lineRule="auto"/>
        <w:ind w:right="174" w:hanging="3"/>
        <w:rPr>
          <w:rFonts w:ascii="Times New Roman" w:hAnsi="Times New Roman" w:cs="Times New Roman"/>
          <w:color w:val="auto"/>
          <w:sz w:val="24"/>
          <w:szCs w:val="24"/>
        </w:rPr>
      </w:pPr>
      <w:r>
        <w:rPr>
          <w:rFonts w:ascii="Times New Roman" w:hAnsi="Times New Roman" w:cs="Times New Roman"/>
          <w:color w:val="auto"/>
          <w:sz w:val="24"/>
          <w:szCs w:val="24"/>
        </w:rPr>
        <w:t>Every</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facility</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will</w:t>
      </w:r>
      <w:r>
        <w:rPr>
          <w:rFonts w:ascii="Times New Roman" w:hAnsi="Times New Roman" w:cs="Times New Roman"/>
          <w:color w:val="auto"/>
          <w:spacing w:val="32"/>
          <w:sz w:val="24"/>
          <w:szCs w:val="24"/>
        </w:rPr>
        <w:t xml:space="preserve"> </w:t>
      </w:r>
      <w:r>
        <w:rPr>
          <w:rFonts w:ascii="Times New Roman" w:hAnsi="Times New Roman" w:cs="Times New Roman"/>
          <w:color w:val="auto"/>
          <w:sz w:val="24"/>
          <w:szCs w:val="24"/>
        </w:rPr>
        <w:t>comprise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of</w:t>
      </w:r>
      <w:r>
        <w:rPr>
          <w:rFonts w:ascii="Times New Roman" w:hAnsi="Times New Roman" w:cs="Times New Roman"/>
          <w:color w:val="auto"/>
          <w:spacing w:val="33"/>
          <w:sz w:val="24"/>
          <w:szCs w:val="24"/>
        </w:rPr>
        <w:t xml:space="preserve"> </w:t>
      </w:r>
      <w:r>
        <w:rPr>
          <w:rFonts w:ascii="Times New Roman" w:hAnsi="Times New Roman" w:cs="Times New Roman"/>
          <w:color w:val="auto"/>
          <w:sz w:val="24"/>
          <w:szCs w:val="24"/>
        </w:rPr>
        <w:t>separate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washroom</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sections</w:t>
      </w:r>
      <w:r>
        <w:rPr>
          <w:rFonts w:ascii="Times New Roman" w:hAnsi="Times New Roman" w:cs="Times New Roman"/>
          <w:color w:val="auto"/>
          <w:spacing w:val="34"/>
          <w:sz w:val="24"/>
          <w:szCs w:val="24"/>
        </w:rPr>
        <w:t xml:space="preserve"> </w:t>
      </w:r>
      <w:r>
        <w:rPr>
          <w:rFonts w:ascii="Times New Roman" w:hAnsi="Times New Roman" w:cs="Times New Roman"/>
          <w:color w:val="auto"/>
          <w:sz w:val="24"/>
          <w:szCs w:val="24"/>
        </w:rPr>
        <w:t>for</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ladies</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and</w:t>
      </w:r>
      <w:r>
        <w:rPr>
          <w:rFonts w:ascii="Times New Roman" w:hAnsi="Times New Roman" w:cs="Times New Roman"/>
          <w:color w:val="auto"/>
          <w:spacing w:val="34"/>
          <w:sz w:val="24"/>
          <w:szCs w:val="24"/>
        </w:rPr>
        <w:t xml:space="preserve"> </w:t>
      </w:r>
      <w:r>
        <w:rPr>
          <w:rFonts w:ascii="Times New Roman" w:hAnsi="Times New Roman" w:cs="Times New Roman"/>
          <w:color w:val="auto"/>
          <w:sz w:val="24"/>
          <w:szCs w:val="24"/>
        </w:rPr>
        <w:t>gentlemen</w:t>
      </w:r>
      <w:r>
        <w:rPr>
          <w:rFonts w:ascii="Times New Roman" w:hAnsi="Times New Roman" w:cs="Times New Roman"/>
          <w:color w:val="auto"/>
          <w:spacing w:val="39"/>
          <w:sz w:val="24"/>
          <w:szCs w:val="24"/>
        </w:rPr>
        <w:t xml:space="preserve"> </w:t>
      </w:r>
      <w:r>
        <w:rPr>
          <w:rFonts w:ascii="Times New Roman" w:hAnsi="Times New Roman" w:cs="Times New Roman"/>
          <w:color w:val="auto"/>
          <w:sz w:val="24"/>
          <w:szCs w:val="24"/>
        </w:rPr>
        <w:t>(gents) with equal number of toilets. Each section (for ladies and gents) will be provided with one toilet fitted with special amenities for access and use by disabled persons. The disabled washrooms will be designed with a minimum size of 1.5m by 2.2m to ensure adequate maneuvering space, with clearly marked dimensions for the toilet and rail positioning.Two shower rooms equipped with a dressing area, hand-wash basins, mirrors as well as a 900 mm high worktop will also be provided in</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each section. To promote contactless handwashing, the design will include automatic soap dispensers and sensor-activated taps.</w:t>
      </w:r>
    </w:p>
    <w:p w14:paraId="3210825C">
      <w:pPr>
        <w:pStyle w:val="8"/>
        <w:spacing w:before="195" w:line="240" w:lineRule="auto"/>
        <w:ind w:right="174" w:hanging="3"/>
        <w:rPr>
          <w:rFonts w:ascii="Times New Roman" w:hAnsi="Times New Roman" w:cs="Times New Roman"/>
          <w:color w:val="auto"/>
          <w:sz w:val="24"/>
          <w:szCs w:val="24"/>
        </w:rPr>
      </w:pPr>
    </w:p>
    <w:p w14:paraId="71792AAF">
      <w:pPr>
        <w:pStyle w:val="8"/>
        <w:spacing w:before="196" w:line="240" w:lineRule="auto"/>
        <w:ind w:right="169" w:hanging="3"/>
        <w:rPr>
          <w:rFonts w:ascii="Times New Roman" w:hAnsi="Times New Roman" w:cs="Times New Roman"/>
          <w:color w:val="auto"/>
          <w:sz w:val="24"/>
          <w:szCs w:val="24"/>
        </w:rPr>
      </w:pPr>
      <w:r>
        <w:rPr>
          <w:rFonts w:ascii="Times New Roman" w:hAnsi="Times New Roman" w:cs="Times New Roman"/>
          <w:color w:val="auto"/>
          <w:sz w:val="24"/>
          <w:szCs w:val="24"/>
        </w:rPr>
        <w:t>Each of the units shall be fitted with coat hangers behind the doors for the convenience of the users.</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Proper ventilation shall be enhanced by the louvered windows and gap between</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the</w:t>
      </w:r>
      <w:r>
        <w:rPr>
          <w:rFonts w:ascii="Times New Roman" w:hAnsi="Times New Roman" w:cs="Times New Roman"/>
          <w:color w:val="auto"/>
          <w:spacing w:val="39"/>
          <w:sz w:val="24"/>
          <w:szCs w:val="24"/>
        </w:rPr>
        <w:t xml:space="preserve"> </w:t>
      </w:r>
      <w:r>
        <w:rPr>
          <w:rFonts w:ascii="Times New Roman" w:hAnsi="Times New Roman" w:cs="Times New Roman"/>
          <w:color w:val="auto"/>
          <w:sz w:val="24"/>
          <w:szCs w:val="24"/>
        </w:rPr>
        <w:t>ring</w:t>
      </w:r>
      <w:r>
        <w:rPr>
          <w:rFonts w:ascii="Times New Roman" w:hAnsi="Times New Roman" w:cs="Times New Roman"/>
          <w:color w:val="auto"/>
          <w:spacing w:val="31"/>
          <w:sz w:val="24"/>
          <w:szCs w:val="24"/>
        </w:rPr>
        <w:t xml:space="preserve"> </w:t>
      </w:r>
      <w:r>
        <w:rPr>
          <w:rFonts w:ascii="Times New Roman" w:hAnsi="Times New Roman" w:cs="Times New Roman"/>
          <w:color w:val="auto"/>
          <w:sz w:val="24"/>
          <w:szCs w:val="24"/>
        </w:rPr>
        <w:t>beam</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and</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the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roof</w:t>
      </w:r>
      <w:r>
        <w:rPr>
          <w:rFonts w:ascii="Times New Roman" w:hAnsi="Times New Roman" w:cs="Times New Roman"/>
          <w:color w:val="auto"/>
          <w:spacing w:val="35"/>
          <w:sz w:val="24"/>
          <w:szCs w:val="24"/>
        </w:rPr>
        <w:t xml:space="preserve"> </w:t>
      </w:r>
      <w:r>
        <w:rPr>
          <w:rFonts w:ascii="Times New Roman" w:hAnsi="Times New Roman" w:cs="Times New Roman"/>
          <w:color w:val="auto"/>
          <w:sz w:val="24"/>
          <w:szCs w:val="24"/>
        </w:rPr>
        <w:t>fitted</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with</w:t>
      </w:r>
      <w:r>
        <w:rPr>
          <w:rFonts w:ascii="Times New Roman" w:hAnsi="Times New Roman" w:cs="Times New Roman"/>
          <w:color w:val="auto"/>
          <w:spacing w:val="37"/>
          <w:sz w:val="24"/>
          <w:szCs w:val="24"/>
        </w:rPr>
        <w:t xml:space="preserve"> </w:t>
      </w:r>
      <w:r>
        <w:rPr>
          <w:rFonts w:ascii="Times New Roman" w:hAnsi="Times New Roman" w:cs="Times New Roman"/>
          <w:color w:val="auto"/>
          <w:sz w:val="24"/>
          <w:szCs w:val="24"/>
        </w:rPr>
        <w:t>louvre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blocks</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and</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plastic</w:t>
      </w:r>
      <w:r>
        <w:rPr>
          <w:rFonts w:ascii="Times New Roman" w:hAnsi="Times New Roman" w:cs="Times New Roman"/>
          <w:color w:val="auto"/>
          <w:spacing w:val="40"/>
          <w:sz w:val="24"/>
          <w:szCs w:val="24"/>
        </w:rPr>
        <w:t xml:space="preserve">-coated </w:t>
      </w:r>
      <w:r>
        <w:rPr>
          <w:rFonts w:ascii="Times New Roman" w:hAnsi="Times New Roman" w:cs="Times New Roman"/>
          <w:color w:val="auto"/>
          <w:sz w:val="24"/>
          <w:szCs w:val="24"/>
        </w:rPr>
        <w:t>coffee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tray wires to prevent insect entry.</w:t>
      </w:r>
    </w:p>
    <w:p w14:paraId="5067794E">
      <w:pPr>
        <w:pStyle w:val="8"/>
        <w:spacing w:before="202" w:line="240" w:lineRule="auto"/>
        <w:ind w:right="169" w:firstLine="7"/>
        <w:rPr>
          <w:rFonts w:ascii="Times New Roman" w:hAnsi="Times New Roman" w:cs="Times New Roman"/>
          <w:color w:val="auto"/>
          <w:sz w:val="24"/>
          <w:szCs w:val="24"/>
        </w:rPr>
      </w:pPr>
      <w:r>
        <w:rPr>
          <w:rFonts w:ascii="Times New Roman" w:hAnsi="Times New Roman" w:cs="Times New Roman"/>
          <w:color w:val="auto"/>
          <w:sz w:val="24"/>
          <w:szCs w:val="24"/>
        </w:rPr>
        <w:t>A 2,000-litre water tank shall be installed to provide 3 days of storage at the required volume.</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 xml:space="preserve">The tanks will be mounted on top of the roof slab for supply of water to the ablution block especially in emergency cases. Electricity will be also provided for use at night and for security lighting. </w:t>
      </w:r>
    </w:p>
    <w:p w14:paraId="2CA57762">
      <w:pPr>
        <w:spacing w:line="240" w:lineRule="auto"/>
        <w:jc w:val="both"/>
        <w:rPr>
          <w:rFonts w:ascii="Times New Roman" w:hAnsi="Times New Roman"/>
          <w:szCs w:val="24"/>
        </w:rPr>
      </w:pPr>
      <w:r>
        <w:rPr>
          <w:rFonts w:ascii="Times New Roman" w:hAnsi="Times New Roman"/>
          <w:szCs w:val="24"/>
        </w:rPr>
        <w:t>The key construction activities will include:</w:t>
      </w:r>
    </w:p>
    <w:p w14:paraId="62E1C078">
      <w:pPr>
        <w:pStyle w:val="32"/>
        <w:numPr>
          <w:ilvl w:val="0"/>
          <w:numId w:val="21"/>
        </w:numPr>
        <w:spacing w:line="240" w:lineRule="auto"/>
        <w:jc w:val="both"/>
        <w:rPr>
          <w:rFonts w:ascii="Times New Roman" w:hAnsi="Times New Roman"/>
          <w:szCs w:val="24"/>
        </w:rPr>
      </w:pPr>
      <w:r>
        <w:rPr>
          <w:rFonts w:ascii="Times New Roman" w:hAnsi="Times New Roman"/>
          <w:szCs w:val="24"/>
        </w:rPr>
        <w:t>Site clearance and topsoil stripping</w:t>
      </w:r>
    </w:p>
    <w:p w14:paraId="09A19B95">
      <w:pPr>
        <w:pStyle w:val="32"/>
        <w:numPr>
          <w:ilvl w:val="0"/>
          <w:numId w:val="21"/>
        </w:numPr>
        <w:spacing w:line="240" w:lineRule="auto"/>
        <w:jc w:val="both"/>
        <w:rPr>
          <w:rFonts w:ascii="Times New Roman" w:hAnsi="Times New Roman"/>
          <w:szCs w:val="24"/>
        </w:rPr>
      </w:pPr>
      <w:r>
        <w:rPr>
          <w:rFonts w:ascii="Times New Roman" w:hAnsi="Times New Roman"/>
          <w:szCs w:val="24"/>
        </w:rPr>
        <w:t>Excavation for structure foundations and for septic tanks and backfilling for reinstatement as appropriate with approved hard-core filling, and Chemical anti-termite treatment to surface of filling with an approved insecticide</w:t>
      </w:r>
    </w:p>
    <w:p w14:paraId="17DA4A65">
      <w:pPr>
        <w:pStyle w:val="32"/>
        <w:numPr>
          <w:ilvl w:val="0"/>
          <w:numId w:val="21"/>
        </w:numPr>
        <w:spacing w:line="240" w:lineRule="auto"/>
        <w:jc w:val="both"/>
        <w:rPr>
          <w:rFonts w:ascii="Times New Roman" w:hAnsi="Times New Roman"/>
          <w:szCs w:val="24"/>
        </w:rPr>
      </w:pPr>
      <w:r>
        <w:rPr>
          <w:rFonts w:ascii="Times New Roman" w:hAnsi="Times New Roman"/>
          <w:szCs w:val="24"/>
        </w:rPr>
        <w:t xml:space="preserve">General and steel - reinforced concrete works </w:t>
      </w:r>
    </w:p>
    <w:p w14:paraId="2C64BF10">
      <w:pPr>
        <w:pStyle w:val="32"/>
        <w:numPr>
          <w:ilvl w:val="0"/>
          <w:numId w:val="21"/>
        </w:numPr>
        <w:spacing w:line="240" w:lineRule="auto"/>
        <w:jc w:val="both"/>
        <w:rPr>
          <w:rFonts w:ascii="Times New Roman" w:hAnsi="Times New Roman"/>
          <w:szCs w:val="24"/>
        </w:rPr>
      </w:pPr>
      <w:r>
        <w:rPr>
          <w:rFonts w:ascii="Times New Roman" w:hAnsi="Times New Roman"/>
          <w:szCs w:val="24"/>
        </w:rPr>
        <w:t xml:space="preserve">Walling using approved concrete blocks and cement motor </w:t>
      </w:r>
    </w:p>
    <w:p w14:paraId="30028F65">
      <w:pPr>
        <w:pStyle w:val="32"/>
        <w:numPr>
          <w:ilvl w:val="0"/>
          <w:numId w:val="21"/>
        </w:numPr>
        <w:spacing w:line="240" w:lineRule="auto"/>
        <w:jc w:val="both"/>
        <w:rPr>
          <w:rFonts w:ascii="Times New Roman" w:hAnsi="Times New Roman"/>
          <w:szCs w:val="24"/>
        </w:rPr>
      </w:pPr>
      <w:r>
        <w:rPr>
          <w:rFonts w:ascii="Times New Roman" w:hAnsi="Times New Roman"/>
          <w:szCs w:val="24"/>
        </w:rPr>
        <w:t>Installation of roof coverings on timber trusses</w:t>
      </w:r>
    </w:p>
    <w:p w14:paraId="6D43F393">
      <w:pPr>
        <w:pStyle w:val="32"/>
        <w:numPr>
          <w:ilvl w:val="0"/>
          <w:numId w:val="21"/>
        </w:numPr>
        <w:spacing w:line="240" w:lineRule="auto"/>
        <w:jc w:val="both"/>
        <w:rPr>
          <w:rFonts w:ascii="Times New Roman" w:hAnsi="Times New Roman"/>
          <w:szCs w:val="24"/>
        </w:rPr>
      </w:pPr>
      <w:r>
        <w:rPr>
          <w:rFonts w:ascii="Times New Roman" w:hAnsi="Times New Roman"/>
          <w:szCs w:val="24"/>
        </w:rPr>
        <w:t xml:space="preserve">General electrical, plumbing and plumbing works </w:t>
      </w:r>
    </w:p>
    <w:p w14:paraId="62E43F18">
      <w:pPr>
        <w:pStyle w:val="32"/>
        <w:numPr>
          <w:ilvl w:val="0"/>
          <w:numId w:val="21"/>
        </w:numPr>
        <w:spacing w:line="240" w:lineRule="auto"/>
        <w:jc w:val="both"/>
        <w:rPr>
          <w:rFonts w:ascii="Times New Roman" w:hAnsi="Times New Roman"/>
          <w:szCs w:val="24"/>
        </w:rPr>
      </w:pPr>
      <w:r>
        <w:rPr>
          <w:rFonts w:ascii="Times New Roman" w:hAnsi="Times New Roman"/>
          <w:szCs w:val="24"/>
        </w:rPr>
        <w:t xml:space="preserve">Finishes including plaster works, tiling and painting </w:t>
      </w:r>
    </w:p>
    <w:bookmarkEnd w:id="83"/>
    <w:p w14:paraId="69555CC0">
      <w:pPr>
        <w:spacing w:line="240" w:lineRule="auto"/>
        <w:jc w:val="both"/>
        <w:rPr>
          <w:rFonts w:ascii="Times New Roman" w:hAnsi="Times New Roman"/>
          <w:szCs w:val="24"/>
        </w:rPr>
      </w:pPr>
      <w:r>
        <w:rPr>
          <w:rFonts w:ascii="Times New Roman" w:hAnsi="Times New Roman"/>
          <w:szCs w:val="24"/>
        </w:rPr>
        <w:t>A personnel office complete with a storage for essential basic commodities, shall be provided at the entrance of the facility.</w:t>
      </w:r>
    </w:p>
    <w:p w14:paraId="0AD41436">
      <w:pPr>
        <w:spacing w:line="240" w:lineRule="auto"/>
        <w:jc w:val="both"/>
        <w:rPr>
          <w:rFonts w:ascii="Times New Roman" w:hAnsi="Times New Roman"/>
          <w:szCs w:val="24"/>
        </w:rPr>
      </w:pPr>
      <w:r>
        <w:rPr>
          <w:rFonts w:ascii="Times New Roman" w:hAnsi="Times New Roman"/>
          <w:szCs w:val="24"/>
        </w:rPr>
        <w:t>Management of the facilities will be handled by KIMAWASCO. Management of the facilities will involve keeping the facilities clean and ready for use. KIMAWASCO will be responsible for the repairs of the facility. It will also be responsible for the maintenance of the septic tank. This will involve the provision of exhaustion services and the maintenance of the sanitary lanes to access the septic tanks.</w:t>
      </w:r>
    </w:p>
    <w:p w14:paraId="051802A9">
      <w:pPr>
        <w:spacing w:line="240" w:lineRule="auto"/>
        <w:jc w:val="both"/>
        <w:rPr>
          <w:rFonts w:ascii="Times New Roman" w:hAnsi="Times New Roman"/>
          <w:szCs w:val="24"/>
        </w:rPr>
      </w:pPr>
      <w:r>
        <w:rPr>
          <w:rFonts w:ascii="Times New Roman" w:hAnsi="Times New Roman"/>
          <w:szCs w:val="24"/>
        </w:rPr>
        <w:t>A typical Site Layout, Plan and Elevations of the proposed Ablution Block are given in the figures below.</w:t>
      </w:r>
    </w:p>
    <w:p w14:paraId="052AB2DD">
      <w:pPr>
        <w:spacing w:line="240" w:lineRule="auto"/>
        <w:jc w:val="both"/>
        <w:rPr>
          <w:rFonts w:ascii="Times New Roman" w:hAnsi="Times New Roman"/>
          <w:szCs w:val="24"/>
        </w:rPr>
        <w:sectPr>
          <w:footerReference r:id="rId13" w:type="default"/>
          <w:pgSz w:w="11906" w:h="16838"/>
          <w:pgMar w:top="1440" w:right="1440" w:bottom="1440" w:left="1440" w:header="720" w:footer="720" w:gutter="0"/>
          <w:cols w:space="720" w:num="1"/>
          <w:docGrid w:linePitch="360" w:charSpace="0"/>
        </w:sectPr>
      </w:pPr>
    </w:p>
    <w:p w14:paraId="521C74DE">
      <w:pPr>
        <w:spacing w:line="240" w:lineRule="auto"/>
        <w:jc w:val="both"/>
        <w:rPr>
          <w:rFonts w:ascii="Times New Roman" w:hAnsi="Times New Roman"/>
          <w:szCs w:val="24"/>
        </w:rPr>
        <w:sectPr>
          <w:pgSz w:w="16838" w:h="11906" w:orient="landscape"/>
          <w:pgMar w:top="1440" w:right="1440" w:bottom="1440" w:left="1440" w:header="720" w:footer="720" w:gutter="0"/>
          <w:cols w:space="720" w:num="1"/>
          <w:docGrid w:linePitch="360" w:charSpace="0"/>
        </w:sectPr>
      </w:pPr>
      <w:r>
        <w:rPr>
          <w:rFonts w:ascii="Times New Roman" w:hAnsi="Times New Roman"/>
          <w:szCs w:val="24"/>
        </w:rPr>
        <w:drawing>
          <wp:inline distT="0" distB="0" distL="114300" distR="114300">
            <wp:extent cx="8863330" cy="5485765"/>
            <wp:effectExtent l="0" t="0" r="0" b="635"/>
            <wp:docPr id="4" name="Picture 4" descr="WhatsApp Image 2026-01-23 at 10.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6-01-23 at 10.29.12"/>
                    <pic:cNvPicPr>
                      <a:picLocks noChangeAspect="1"/>
                    </pic:cNvPicPr>
                  </pic:nvPicPr>
                  <pic:blipFill>
                    <a:blip r:embed="rId27"/>
                    <a:stretch>
                      <a:fillRect/>
                    </a:stretch>
                  </pic:blipFill>
                  <pic:spPr>
                    <a:xfrm>
                      <a:off x="0" y="0"/>
                      <a:ext cx="8863330" cy="5485861"/>
                    </a:xfrm>
                    <a:prstGeom prst="rect">
                      <a:avLst/>
                    </a:prstGeom>
                  </pic:spPr>
                </pic:pic>
              </a:graphicData>
            </a:graphic>
          </wp:inline>
        </w:drawing>
      </w:r>
    </w:p>
    <w:p w14:paraId="28BC4569">
      <w:pPr>
        <w:spacing w:line="240" w:lineRule="auto"/>
        <w:rPr>
          <w:rFonts w:ascii="Times New Roman" w:hAnsi="Times New Roman"/>
          <w:szCs w:val="24"/>
        </w:rPr>
      </w:pPr>
      <w:r>
        <w:rPr>
          <w:rFonts w:ascii="Times New Roman" w:hAnsi="Times New Roman"/>
          <w:szCs w:val="24"/>
        </w:rPr>
        <w:drawing>
          <wp:inline distT="0" distB="0" distL="114300" distR="114300">
            <wp:extent cx="8863330" cy="5541010"/>
            <wp:effectExtent l="0" t="0" r="0" b="2540"/>
            <wp:docPr id="3" name="Picture 3" descr="WhatsApp Image 2026-01-23 at 10.2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6-01-23 at 10.29.12(3)"/>
                    <pic:cNvPicPr>
                      <a:picLocks noChangeAspect="1"/>
                    </pic:cNvPicPr>
                  </pic:nvPicPr>
                  <pic:blipFill>
                    <a:blip r:embed="rId28"/>
                    <a:stretch>
                      <a:fillRect/>
                    </a:stretch>
                  </pic:blipFill>
                  <pic:spPr>
                    <a:xfrm>
                      <a:off x="0" y="0"/>
                      <a:ext cx="8863330" cy="5541232"/>
                    </a:xfrm>
                    <a:prstGeom prst="rect">
                      <a:avLst/>
                    </a:prstGeom>
                  </pic:spPr>
                </pic:pic>
              </a:graphicData>
            </a:graphic>
          </wp:inline>
        </w:drawing>
      </w:r>
    </w:p>
    <w:p w14:paraId="1B748879">
      <w:pPr>
        <w:pStyle w:val="10"/>
        <w:ind w:left="1440"/>
        <w:rPr>
          <w:rFonts w:ascii="Times New Roman" w:hAnsi="Times New Roman"/>
          <w:color w:val="auto"/>
        </w:rPr>
      </w:pPr>
      <w:r>
        <w:rPr>
          <w:rFonts w:ascii="Times New Roman" w:hAnsi="Times New Roman"/>
          <w:color w:val="auto"/>
        </w:rPr>
        <w:drawing>
          <wp:inline distT="0" distB="0" distL="114300" distR="114300">
            <wp:extent cx="8863330" cy="5707380"/>
            <wp:effectExtent l="0" t="0" r="0" b="7620"/>
            <wp:docPr id="2" name="Picture 2" descr="WhatsApp Image 2026-01-23 at 10.2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6-01-23 at 10.29.12(2)"/>
                    <pic:cNvPicPr>
                      <a:picLocks noChangeAspect="1"/>
                    </pic:cNvPicPr>
                  </pic:nvPicPr>
                  <pic:blipFill>
                    <a:blip r:embed="rId29"/>
                    <a:stretch>
                      <a:fillRect/>
                    </a:stretch>
                  </pic:blipFill>
                  <pic:spPr>
                    <a:xfrm>
                      <a:off x="0" y="0"/>
                      <a:ext cx="8863330" cy="5707883"/>
                    </a:xfrm>
                    <a:prstGeom prst="rect">
                      <a:avLst/>
                    </a:prstGeom>
                  </pic:spPr>
                </pic:pic>
              </a:graphicData>
            </a:graphic>
          </wp:inline>
        </w:drawing>
      </w:r>
      <w:r>
        <w:rPr>
          <w:rFonts w:ascii="Times New Roman" w:hAnsi="Times New Roman"/>
          <w:color w:val="auto"/>
        </w:rPr>
        <w:drawing>
          <wp:inline distT="0" distB="0" distL="114300" distR="114300">
            <wp:extent cx="7901940" cy="4735195"/>
            <wp:effectExtent l="0" t="0" r="3810" b="8255"/>
            <wp:docPr id="1" name="Picture 1" descr="WhatsApp Image 2026-01-23 at 10.2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6-01-23 at 10.29.12(1)"/>
                    <pic:cNvPicPr>
                      <a:picLocks noChangeAspect="1"/>
                    </pic:cNvPicPr>
                  </pic:nvPicPr>
                  <pic:blipFill>
                    <a:blip r:embed="rId30"/>
                    <a:stretch>
                      <a:fillRect/>
                    </a:stretch>
                  </pic:blipFill>
                  <pic:spPr>
                    <a:xfrm>
                      <a:off x="0" y="0"/>
                      <a:ext cx="7928760" cy="4751283"/>
                    </a:xfrm>
                    <a:prstGeom prst="rect">
                      <a:avLst/>
                    </a:prstGeom>
                  </pic:spPr>
                </pic:pic>
              </a:graphicData>
            </a:graphic>
          </wp:inline>
        </w:drawing>
      </w:r>
    </w:p>
    <w:p w14:paraId="1BB27083"/>
    <w:p w14:paraId="4E69EC85">
      <w:pPr>
        <w:rPr>
          <w:rFonts w:ascii="Times New Roman" w:hAnsi="Times New Roman"/>
          <w:i/>
          <w:iCs/>
          <w:szCs w:val="24"/>
        </w:rPr>
      </w:pPr>
    </w:p>
    <w:p w14:paraId="59BFA209">
      <w:pPr>
        <w:tabs>
          <w:tab w:val="left" w:pos="2983"/>
        </w:tabs>
        <w:rPr>
          <w:rFonts w:ascii="Times New Roman" w:hAnsi="Times New Roman"/>
          <w:i/>
          <w:iCs/>
          <w:szCs w:val="24"/>
        </w:rPr>
        <w:sectPr>
          <w:pgSz w:w="16838" w:h="11906" w:orient="landscape"/>
          <w:pgMar w:top="1440" w:right="1440" w:bottom="1440" w:left="1440" w:header="720" w:footer="720" w:gutter="0"/>
          <w:cols w:space="720" w:num="1"/>
          <w:docGrid w:linePitch="360" w:charSpace="0"/>
        </w:sectPr>
      </w:pPr>
      <w:r>
        <w:drawing>
          <wp:inline distT="0" distB="0" distL="0" distR="0">
            <wp:extent cx="8109585" cy="5061585"/>
            <wp:effectExtent l="0" t="0" r="5715" b="5715"/>
            <wp:docPr id="957822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22991" name="Picture 1"/>
                    <pic:cNvPicPr>
                      <a:picLocks noChangeAspect="1"/>
                    </pic:cNvPicPr>
                  </pic:nvPicPr>
                  <pic:blipFill>
                    <a:blip r:embed="rId31"/>
                    <a:stretch>
                      <a:fillRect/>
                    </a:stretch>
                  </pic:blipFill>
                  <pic:spPr>
                    <a:xfrm>
                      <a:off x="0" y="0"/>
                      <a:ext cx="8113645" cy="5064126"/>
                    </a:xfrm>
                    <a:prstGeom prst="rect">
                      <a:avLst/>
                    </a:prstGeom>
                  </pic:spPr>
                </pic:pic>
              </a:graphicData>
            </a:graphic>
          </wp:inline>
        </w:drawing>
      </w:r>
    </w:p>
    <w:p w14:paraId="27B82BC2">
      <w:pPr>
        <w:pStyle w:val="4"/>
        <w:numPr>
          <w:ilvl w:val="1"/>
          <w:numId w:val="19"/>
        </w:numPr>
        <w:shd w:val="clear" w:color="auto" w:fill="auto"/>
        <w:spacing w:line="240" w:lineRule="auto"/>
        <w:rPr>
          <w:rFonts w:ascii="Times New Roman" w:hAnsi="Times New Roman"/>
          <w:b/>
          <w:bCs/>
          <w:i/>
          <w:iCs/>
        </w:rPr>
      </w:pPr>
      <w:bookmarkStart w:id="84" w:name="_Toc220710790"/>
      <w:bookmarkStart w:id="85" w:name="_Toc6114"/>
      <w:bookmarkStart w:id="86" w:name="_Toc29553"/>
      <w:bookmarkStart w:id="87" w:name="_Toc9382"/>
      <w:bookmarkStart w:id="88" w:name="_Toc536807007"/>
      <w:r>
        <w:rPr>
          <w:rFonts w:ascii="Times New Roman" w:hAnsi="Times New Roman"/>
          <w:b/>
          <w:bCs/>
        </w:rPr>
        <w:t>Project Implementation Cost</w:t>
      </w:r>
      <w:bookmarkEnd w:id="84"/>
      <w:r>
        <w:rPr>
          <w:rFonts w:ascii="Times New Roman" w:hAnsi="Times New Roman"/>
          <w:b/>
          <w:bCs/>
        </w:rPr>
        <w:t xml:space="preserve"> </w:t>
      </w:r>
      <w:bookmarkEnd w:id="85"/>
      <w:bookmarkEnd w:id="86"/>
      <w:bookmarkEnd w:id="87"/>
      <w:bookmarkEnd w:id="88"/>
    </w:p>
    <w:p w14:paraId="5F7367F3">
      <w:pPr>
        <w:spacing w:line="240" w:lineRule="auto"/>
        <w:rPr>
          <w:rFonts w:ascii="Times New Roman" w:hAnsi="Times New Roman"/>
          <w:szCs w:val="24"/>
        </w:rPr>
      </w:pPr>
      <w:r>
        <w:rPr>
          <w:rFonts w:ascii="Times New Roman" w:hAnsi="Times New Roman"/>
          <w:szCs w:val="24"/>
        </w:rPr>
        <w:t>The Implementation Cost is given in the table below.</w:t>
      </w:r>
    </w:p>
    <w:p w14:paraId="6967B123">
      <w:pPr>
        <w:pStyle w:val="10"/>
        <w:keepNext/>
        <w:ind w:left="720"/>
        <w:rPr>
          <w:rFonts w:ascii="Times New Roman" w:hAnsi="Times New Roman"/>
          <w:b/>
          <w:bCs/>
          <w:color w:val="auto"/>
        </w:rPr>
      </w:pPr>
      <w:bookmarkStart w:id="89" w:name="_Toc536807201"/>
      <w:bookmarkStart w:id="90" w:name="_Toc224740299"/>
      <w:r>
        <w:rPr>
          <w:rFonts w:ascii="Times New Roman" w:hAnsi="Times New Roman"/>
          <w:b/>
          <w:bCs/>
          <w:color w:val="auto"/>
        </w:rPr>
        <w:t xml:space="preserve">Table </w:t>
      </w:r>
      <w:r>
        <w:rPr>
          <w:rFonts w:ascii="Times New Roman" w:hAnsi="Times New Roman"/>
          <w:b/>
          <w:bCs/>
          <w:color w:val="auto"/>
        </w:rPr>
        <w:fldChar w:fldCharType="begin"/>
      </w:r>
      <w:r>
        <w:rPr>
          <w:rFonts w:ascii="Times New Roman" w:hAnsi="Times New Roman"/>
          <w:b/>
          <w:bCs/>
          <w:color w:val="auto"/>
        </w:rPr>
        <w:instrText xml:space="preserve"> SEQ Table \* ARABIC </w:instrText>
      </w:r>
      <w:r>
        <w:rPr>
          <w:rFonts w:ascii="Times New Roman" w:hAnsi="Times New Roman"/>
          <w:b/>
          <w:bCs/>
          <w:color w:val="auto"/>
        </w:rPr>
        <w:fldChar w:fldCharType="separate"/>
      </w:r>
      <w:r>
        <w:rPr>
          <w:rFonts w:ascii="Times New Roman" w:hAnsi="Times New Roman"/>
          <w:b/>
          <w:bCs/>
          <w:color w:val="auto"/>
        </w:rPr>
        <w:t>4</w:t>
      </w:r>
      <w:r>
        <w:rPr>
          <w:rFonts w:ascii="Times New Roman" w:hAnsi="Times New Roman"/>
          <w:b/>
          <w:bCs/>
          <w:color w:val="auto"/>
        </w:rPr>
        <w:fldChar w:fldCharType="end"/>
      </w:r>
      <w:bookmarkStart w:id="91" w:name="_Toc16083"/>
      <w:r>
        <w:rPr>
          <w:rFonts w:ascii="Times New Roman" w:hAnsi="Times New Roman"/>
          <w:b/>
          <w:bCs/>
          <w:color w:val="auto"/>
        </w:rPr>
        <w:t>: Implementation Costs for Immediate Measures</w:t>
      </w:r>
      <w:bookmarkEnd w:id="89"/>
      <w:bookmarkEnd w:id="90"/>
      <w:bookmarkEnd w:id="91"/>
    </w:p>
    <w:tbl>
      <w:tblPr>
        <w:tblStyle w:val="7"/>
        <w:tblW w:w="97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20"/>
        <w:gridCol w:w="2302"/>
        <w:gridCol w:w="1915"/>
        <w:gridCol w:w="2218"/>
        <w:gridCol w:w="2220"/>
      </w:tblGrid>
      <w:tr w14:paraId="16771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 w:hRule="atLeast"/>
        </w:trPr>
        <w:tc>
          <w:tcPr>
            <w:tcW w:w="1120" w:type="dxa"/>
            <w:tcBorders>
              <w:top w:val="single" w:color="auto" w:sz="4" w:space="0"/>
              <w:left w:val="single" w:color="auto" w:sz="4" w:space="0"/>
              <w:bottom w:val="single" w:color="auto" w:sz="4" w:space="0"/>
              <w:right w:val="single" w:color="auto" w:sz="4" w:space="0"/>
            </w:tcBorders>
            <w:vAlign w:val="center"/>
          </w:tcPr>
          <w:p w14:paraId="4A038014">
            <w:pPr>
              <w:spacing w:after="0" w:line="240" w:lineRule="auto"/>
              <w:rPr>
                <w:rFonts w:ascii="Times New Roman" w:hAnsi="Times New Roman" w:eastAsia="Times New Roman"/>
                <w:b/>
                <w:bCs/>
                <w:szCs w:val="24"/>
                <w:lang w:eastAsia="en-GB"/>
              </w:rPr>
            </w:pPr>
            <w:r>
              <w:rPr>
                <w:rFonts w:ascii="Times New Roman" w:hAnsi="Times New Roman" w:eastAsia="Times New Roman"/>
                <w:b/>
                <w:bCs/>
                <w:szCs w:val="24"/>
                <w:lang w:eastAsia="en-GB"/>
              </w:rPr>
              <w:t>s</w:t>
            </w:r>
          </w:p>
        </w:tc>
        <w:tc>
          <w:tcPr>
            <w:tcW w:w="2302" w:type="dxa"/>
            <w:tcBorders>
              <w:top w:val="single" w:color="auto" w:sz="4" w:space="0"/>
              <w:left w:val="single" w:color="auto" w:sz="4" w:space="0"/>
              <w:bottom w:val="single" w:color="auto" w:sz="4" w:space="0"/>
              <w:right w:val="single" w:color="auto" w:sz="4" w:space="0"/>
            </w:tcBorders>
            <w:vAlign w:val="center"/>
          </w:tcPr>
          <w:p w14:paraId="03555C7B">
            <w:pPr>
              <w:spacing w:after="0" w:line="240" w:lineRule="auto"/>
              <w:rPr>
                <w:rFonts w:ascii="Times New Roman" w:hAnsi="Times New Roman" w:eastAsia="Times New Roman"/>
                <w:b/>
                <w:bCs/>
                <w:szCs w:val="24"/>
                <w:lang w:eastAsia="en-GB"/>
              </w:rPr>
            </w:pPr>
            <w:r>
              <w:rPr>
                <w:rFonts w:ascii="Times New Roman" w:hAnsi="Times New Roman" w:eastAsia="Times New Roman"/>
                <w:b/>
                <w:bCs/>
                <w:szCs w:val="24"/>
                <w:lang w:eastAsia="en-GB"/>
              </w:rPr>
              <w:t xml:space="preserve">Component </w:t>
            </w:r>
          </w:p>
        </w:tc>
        <w:tc>
          <w:tcPr>
            <w:tcW w:w="1915" w:type="dxa"/>
            <w:tcBorders>
              <w:top w:val="single" w:color="auto" w:sz="4" w:space="0"/>
              <w:left w:val="single" w:color="auto" w:sz="4" w:space="0"/>
              <w:bottom w:val="single" w:color="auto" w:sz="4" w:space="0"/>
              <w:right w:val="single" w:color="auto" w:sz="4" w:space="0"/>
            </w:tcBorders>
            <w:vAlign w:val="center"/>
          </w:tcPr>
          <w:p w14:paraId="7CC98CA8">
            <w:pPr>
              <w:spacing w:after="0" w:line="240" w:lineRule="auto"/>
              <w:rPr>
                <w:rFonts w:ascii="Times New Roman" w:hAnsi="Times New Roman" w:eastAsia="Times New Roman"/>
                <w:b/>
                <w:bCs/>
                <w:szCs w:val="24"/>
                <w:lang w:eastAsia="en-GB"/>
              </w:rPr>
            </w:pPr>
            <w:r>
              <w:rPr>
                <w:rFonts w:ascii="Times New Roman" w:hAnsi="Times New Roman" w:eastAsia="Times New Roman"/>
                <w:b/>
                <w:bCs/>
                <w:szCs w:val="24"/>
                <w:lang w:eastAsia="en-GB"/>
              </w:rPr>
              <w:t xml:space="preserve">Number to be Provided </w:t>
            </w:r>
          </w:p>
        </w:tc>
        <w:tc>
          <w:tcPr>
            <w:tcW w:w="2218" w:type="dxa"/>
            <w:tcBorders>
              <w:top w:val="single" w:color="auto" w:sz="4" w:space="0"/>
              <w:left w:val="single" w:color="auto" w:sz="4" w:space="0"/>
              <w:bottom w:val="single" w:color="auto" w:sz="4" w:space="0"/>
              <w:right w:val="single" w:color="auto" w:sz="4" w:space="0"/>
            </w:tcBorders>
            <w:vAlign w:val="center"/>
          </w:tcPr>
          <w:p w14:paraId="5B260F27">
            <w:pPr>
              <w:spacing w:after="0" w:line="240" w:lineRule="auto"/>
              <w:rPr>
                <w:rFonts w:ascii="Times New Roman" w:hAnsi="Times New Roman" w:eastAsia="Times New Roman"/>
                <w:b/>
                <w:bCs/>
                <w:szCs w:val="24"/>
                <w:lang w:eastAsia="en-GB"/>
              </w:rPr>
            </w:pPr>
            <w:r>
              <w:rPr>
                <w:rFonts w:ascii="Times New Roman" w:hAnsi="Times New Roman" w:eastAsia="Times New Roman"/>
                <w:b/>
                <w:bCs/>
                <w:szCs w:val="24"/>
                <w:lang w:eastAsia="en-GB"/>
              </w:rPr>
              <w:t>Cost</w:t>
            </w:r>
          </w:p>
        </w:tc>
        <w:tc>
          <w:tcPr>
            <w:tcW w:w="2220" w:type="dxa"/>
            <w:tcBorders>
              <w:top w:val="single" w:color="auto" w:sz="4" w:space="0"/>
              <w:left w:val="single" w:color="auto" w:sz="4" w:space="0"/>
              <w:bottom w:val="single" w:color="auto" w:sz="4" w:space="0"/>
              <w:right w:val="single" w:color="auto" w:sz="4" w:space="0"/>
            </w:tcBorders>
            <w:vAlign w:val="center"/>
          </w:tcPr>
          <w:p w14:paraId="5E204154">
            <w:pPr>
              <w:spacing w:after="0" w:line="240" w:lineRule="auto"/>
              <w:jc w:val="center"/>
              <w:rPr>
                <w:rFonts w:ascii="Times New Roman" w:hAnsi="Times New Roman" w:eastAsia="Times New Roman"/>
                <w:b/>
                <w:bCs/>
                <w:szCs w:val="24"/>
                <w:lang w:eastAsia="en-GB"/>
              </w:rPr>
            </w:pPr>
            <w:r>
              <w:rPr>
                <w:rFonts w:ascii="Times New Roman" w:hAnsi="Times New Roman" w:eastAsia="Times New Roman"/>
                <w:b/>
                <w:bCs/>
                <w:szCs w:val="24"/>
                <w:lang w:eastAsia="en-GB"/>
              </w:rPr>
              <w:t>Cost, USD</w:t>
            </w:r>
          </w:p>
        </w:tc>
      </w:tr>
      <w:tr w14:paraId="2CBCE0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1120" w:type="dxa"/>
            <w:tcBorders>
              <w:top w:val="single" w:color="auto" w:sz="4" w:space="0"/>
              <w:left w:val="single" w:color="auto" w:sz="4" w:space="0"/>
              <w:bottom w:val="single" w:color="auto" w:sz="4" w:space="0"/>
              <w:right w:val="single" w:color="auto" w:sz="4" w:space="0"/>
            </w:tcBorders>
            <w:vAlign w:val="center"/>
          </w:tcPr>
          <w:p w14:paraId="72DA701D">
            <w:pPr>
              <w:spacing w:after="0" w:line="240" w:lineRule="auto"/>
              <w:rPr>
                <w:rFonts w:ascii="Times New Roman" w:hAnsi="Times New Roman" w:eastAsia="Times New Roman"/>
                <w:b/>
                <w:bCs/>
                <w:szCs w:val="24"/>
                <w:lang w:eastAsia="en-GB"/>
              </w:rPr>
            </w:pPr>
            <w:r>
              <w:rPr>
                <w:rFonts w:ascii="Times New Roman" w:hAnsi="Times New Roman" w:eastAsia="Times New Roman"/>
                <w:b/>
                <w:bCs/>
                <w:szCs w:val="24"/>
                <w:lang w:eastAsia="en-GB"/>
              </w:rPr>
              <w:t xml:space="preserve">1. </w:t>
            </w:r>
          </w:p>
        </w:tc>
        <w:tc>
          <w:tcPr>
            <w:tcW w:w="2302" w:type="dxa"/>
            <w:tcBorders>
              <w:top w:val="single" w:color="auto" w:sz="4" w:space="0"/>
              <w:left w:val="single" w:color="auto" w:sz="4" w:space="0"/>
              <w:bottom w:val="single" w:color="auto" w:sz="4" w:space="0"/>
              <w:right w:val="single" w:color="auto" w:sz="4" w:space="0"/>
            </w:tcBorders>
            <w:vAlign w:val="center"/>
          </w:tcPr>
          <w:p w14:paraId="410BF149">
            <w:pPr>
              <w:spacing w:after="0" w:line="240" w:lineRule="auto"/>
              <w:rPr>
                <w:rFonts w:ascii="Times New Roman" w:hAnsi="Times New Roman" w:eastAsia="Times New Roman"/>
                <w:b/>
                <w:bCs/>
                <w:szCs w:val="24"/>
                <w:lang w:eastAsia="en-GB"/>
              </w:rPr>
            </w:pPr>
            <w:r>
              <w:rPr>
                <w:rFonts w:ascii="Times New Roman" w:hAnsi="Times New Roman" w:eastAsia="Times New Roman"/>
                <w:b/>
                <w:bCs/>
                <w:szCs w:val="24"/>
                <w:lang w:eastAsia="en-GB"/>
              </w:rPr>
              <w:t>Ablution Block</w:t>
            </w:r>
          </w:p>
        </w:tc>
        <w:tc>
          <w:tcPr>
            <w:tcW w:w="1915" w:type="dxa"/>
            <w:tcBorders>
              <w:top w:val="single" w:color="auto" w:sz="4" w:space="0"/>
              <w:left w:val="single" w:color="auto" w:sz="4" w:space="0"/>
              <w:bottom w:val="single" w:color="auto" w:sz="4" w:space="0"/>
              <w:right w:val="single" w:color="auto" w:sz="4" w:space="0"/>
            </w:tcBorders>
            <w:vAlign w:val="center"/>
          </w:tcPr>
          <w:p w14:paraId="023454F7">
            <w:pPr>
              <w:spacing w:after="0" w:line="240" w:lineRule="auto"/>
              <w:rPr>
                <w:rFonts w:ascii="Times New Roman" w:hAnsi="Times New Roman" w:eastAsia="Times New Roman"/>
                <w:b/>
                <w:bCs/>
                <w:szCs w:val="24"/>
                <w:lang w:eastAsia="en-GB"/>
              </w:rPr>
            </w:pPr>
            <w:r>
              <w:rPr>
                <w:rFonts w:ascii="Times New Roman" w:hAnsi="Times New Roman" w:eastAsia="Times New Roman"/>
                <w:b/>
                <w:bCs/>
                <w:szCs w:val="24"/>
                <w:lang w:eastAsia="en-GB"/>
              </w:rPr>
              <w:t>1</w:t>
            </w:r>
          </w:p>
        </w:tc>
        <w:tc>
          <w:tcPr>
            <w:tcW w:w="2218" w:type="dxa"/>
            <w:tcBorders>
              <w:top w:val="single" w:color="auto" w:sz="4" w:space="0"/>
              <w:left w:val="single" w:color="auto" w:sz="4" w:space="0"/>
              <w:bottom w:val="single" w:color="auto" w:sz="4" w:space="0"/>
              <w:right w:val="single" w:color="auto" w:sz="4" w:space="0"/>
            </w:tcBorders>
            <w:vAlign w:val="center"/>
          </w:tcPr>
          <w:p w14:paraId="2CAC3A3C">
            <w:pPr>
              <w:spacing w:after="0" w:line="240" w:lineRule="auto"/>
              <w:rPr>
                <w:rFonts w:ascii="Times New Roman" w:hAnsi="Times New Roman" w:eastAsia="Times New Roman"/>
                <w:b/>
                <w:bCs/>
                <w:szCs w:val="24"/>
                <w:lang w:val="en-US" w:eastAsia="en-GB"/>
              </w:rPr>
            </w:pPr>
            <w:r>
              <w:rPr>
                <w:rFonts w:ascii="Times New Roman" w:hAnsi="Times New Roman" w:eastAsia="Times New Roman"/>
                <w:b/>
                <w:bCs/>
                <w:szCs w:val="24"/>
                <w:lang w:val="en-US" w:eastAsia="en-GB"/>
              </w:rPr>
              <w:t>8,692,450</w:t>
            </w:r>
          </w:p>
        </w:tc>
        <w:tc>
          <w:tcPr>
            <w:tcW w:w="2220" w:type="dxa"/>
            <w:tcBorders>
              <w:top w:val="single" w:color="auto" w:sz="4" w:space="0"/>
              <w:left w:val="single" w:color="auto" w:sz="4" w:space="0"/>
              <w:bottom w:val="single" w:color="auto" w:sz="4" w:space="0"/>
              <w:right w:val="single" w:color="auto" w:sz="4" w:space="0"/>
            </w:tcBorders>
            <w:vAlign w:val="center"/>
          </w:tcPr>
          <w:p w14:paraId="6642D39B">
            <w:pPr>
              <w:spacing w:after="0" w:line="240" w:lineRule="auto"/>
              <w:jc w:val="center"/>
              <w:rPr>
                <w:rFonts w:ascii="Times New Roman" w:hAnsi="Times New Roman" w:eastAsia="Times New Roman"/>
                <w:b/>
                <w:bCs/>
                <w:szCs w:val="24"/>
                <w:lang w:val="en-US" w:eastAsia="en-GB"/>
              </w:rPr>
            </w:pPr>
            <w:r>
              <w:rPr>
                <w:rFonts w:ascii="Times New Roman" w:hAnsi="Times New Roman" w:eastAsia="Times New Roman"/>
                <w:b/>
                <w:bCs/>
                <w:szCs w:val="24"/>
                <w:lang w:val="en-US" w:eastAsia="en-GB"/>
              </w:rPr>
              <w:t>67,200</w:t>
            </w:r>
          </w:p>
        </w:tc>
      </w:tr>
    </w:tbl>
    <w:p w14:paraId="650D314B">
      <w:pPr>
        <w:spacing w:line="240" w:lineRule="auto"/>
        <w:rPr>
          <w:rFonts w:ascii="Times New Roman" w:hAnsi="Times New Roman"/>
          <w:szCs w:val="24"/>
        </w:rPr>
      </w:pPr>
      <w:r>
        <w:rPr>
          <w:rFonts w:ascii="Times New Roman" w:hAnsi="Times New Roman"/>
          <w:szCs w:val="24"/>
        </w:rPr>
        <w:br w:type="page"/>
      </w:r>
    </w:p>
    <w:p w14:paraId="4629049B">
      <w:pPr>
        <w:spacing w:line="240" w:lineRule="auto"/>
        <w:rPr>
          <w:rFonts w:ascii="Times New Roman" w:hAnsi="Times New Roman"/>
          <w:szCs w:val="24"/>
        </w:rPr>
        <w:sectPr>
          <w:pgSz w:w="11906" w:h="16838"/>
          <w:pgMar w:top="1440" w:right="1440" w:bottom="1440" w:left="1440" w:header="720" w:footer="720" w:gutter="0"/>
          <w:cols w:space="720" w:num="1"/>
          <w:docGrid w:linePitch="360" w:charSpace="0"/>
        </w:sectPr>
      </w:pPr>
    </w:p>
    <w:p w14:paraId="2EA2798A">
      <w:pPr>
        <w:pStyle w:val="2"/>
        <w:numPr>
          <w:ilvl w:val="0"/>
          <w:numId w:val="19"/>
        </w:numPr>
        <w:shd w:val="clear" w:color="auto" w:fill="auto"/>
        <w:spacing w:line="240" w:lineRule="auto"/>
        <w:rPr>
          <w:rFonts w:ascii="Times New Roman" w:hAnsi="Times New Roman"/>
          <w:szCs w:val="24"/>
        </w:rPr>
      </w:pPr>
      <w:bookmarkStart w:id="92" w:name="_Toc192244180"/>
      <w:bookmarkEnd w:id="92"/>
      <w:bookmarkStart w:id="93" w:name="_Toc192253505"/>
      <w:bookmarkEnd w:id="93"/>
      <w:bookmarkStart w:id="94" w:name="_Toc192243435"/>
      <w:bookmarkEnd w:id="94"/>
      <w:bookmarkStart w:id="95" w:name="_Toc192242452"/>
      <w:bookmarkEnd w:id="95"/>
      <w:bookmarkStart w:id="96" w:name="_Toc192150817"/>
      <w:bookmarkEnd w:id="96"/>
      <w:bookmarkStart w:id="97" w:name="_Toc11038"/>
      <w:bookmarkStart w:id="98" w:name="_Toc2934"/>
      <w:bookmarkStart w:id="99" w:name="_Toc30757"/>
      <w:bookmarkStart w:id="100" w:name="_Toc220710791"/>
      <w:r>
        <w:rPr>
          <w:rFonts w:ascii="Times New Roman" w:hAnsi="Times New Roman"/>
          <w:szCs w:val="24"/>
        </w:rPr>
        <w:t>BASELINE CONDITIONS OF AFFECTED ENVIRONMENT</w:t>
      </w:r>
      <w:bookmarkEnd w:id="97"/>
      <w:bookmarkEnd w:id="98"/>
      <w:bookmarkEnd w:id="99"/>
      <w:bookmarkEnd w:id="100"/>
    </w:p>
    <w:p w14:paraId="2A1D64B2">
      <w:pPr>
        <w:spacing w:line="240" w:lineRule="auto"/>
        <w:jc w:val="both"/>
        <w:rPr>
          <w:rFonts w:ascii="Times New Roman" w:hAnsi="Times New Roman"/>
          <w:szCs w:val="24"/>
        </w:rPr>
      </w:pPr>
      <w:r>
        <w:rPr>
          <w:rFonts w:ascii="Times New Roman" w:hAnsi="Times New Roman"/>
          <w:szCs w:val="24"/>
        </w:rPr>
        <w:t>This Section discusses the baseline situation in respect of climate, topography, air quality, soils and geology, hydrology, terrestrial ecology, cultural heritage sites and socio-economic structure as well as existing infrastructure and utilities such as water, sewerage, transportation network, electricity, air transport, and solid waste management in the region of the proposed project.</w:t>
      </w:r>
    </w:p>
    <w:p w14:paraId="44ACD808">
      <w:pPr>
        <w:pStyle w:val="3"/>
        <w:spacing w:line="240" w:lineRule="auto"/>
        <w:rPr>
          <w:rFonts w:ascii="Times New Roman" w:hAnsi="Times New Roman" w:cs="Times New Roman"/>
          <w:sz w:val="24"/>
          <w:szCs w:val="24"/>
        </w:rPr>
      </w:pPr>
      <w:bookmarkStart w:id="101" w:name="_Toc220710792"/>
      <w:bookmarkStart w:id="102" w:name="_Toc15722"/>
      <w:bookmarkStart w:id="103" w:name="_Toc27437"/>
      <w:bookmarkStart w:id="104" w:name="_Toc1517"/>
      <w:r>
        <w:rPr>
          <w:rFonts w:ascii="Times New Roman" w:hAnsi="Times New Roman" w:cs="Times New Roman"/>
          <w:sz w:val="24"/>
          <w:szCs w:val="24"/>
        </w:rPr>
        <w:t>3.1</w:t>
      </w:r>
      <w:r>
        <w:rPr>
          <w:rFonts w:ascii="Times New Roman" w:hAnsi="Times New Roman" w:cs="Times New Roman"/>
          <w:sz w:val="24"/>
          <w:szCs w:val="24"/>
        </w:rPr>
        <w:tab/>
      </w:r>
      <w:r>
        <w:rPr>
          <w:rFonts w:ascii="Times New Roman" w:hAnsi="Times New Roman" w:cs="Times New Roman"/>
          <w:sz w:val="24"/>
          <w:szCs w:val="24"/>
        </w:rPr>
        <w:t>Flora and fauna</w:t>
      </w:r>
      <w:bookmarkEnd w:id="101"/>
      <w:bookmarkEnd w:id="102"/>
      <w:bookmarkEnd w:id="103"/>
      <w:bookmarkEnd w:id="104"/>
    </w:p>
    <w:p w14:paraId="35E87CCE">
      <w:pPr>
        <w:spacing w:line="240" w:lineRule="auto"/>
        <w:jc w:val="both"/>
        <w:rPr>
          <w:rFonts w:ascii="Times New Roman" w:hAnsi="Times New Roman"/>
          <w:szCs w:val="24"/>
          <w:lang w:val="en-US"/>
        </w:rPr>
      </w:pPr>
      <w:r>
        <w:rPr>
          <w:rFonts w:ascii="Times New Roman" w:hAnsi="Times New Roman"/>
          <w:szCs w:val="24"/>
        </w:rPr>
        <w:t>The proposed site is right inside Kilifi town in Sokoni Ward. There is a limited floral and faunal presence. The proposed site for the KIMAWSCO Office ablution facilities features a few mature trees. It is important to note that no trees will be cut or removed during the construction period. Currently, there are no wild animals present, which minimizes concerns related to habitat disruption during the construction proces</w:t>
      </w:r>
      <w:r>
        <w:rPr>
          <w:rFonts w:ascii="Times New Roman" w:hAnsi="Times New Roman"/>
          <w:szCs w:val="24"/>
          <w:lang w:val="en-US"/>
        </w:rPr>
        <w:t>s.</w:t>
      </w:r>
    </w:p>
    <w:p w14:paraId="3308B2C5">
      <w:pPr>
        <w:pStyle w:val="3"/>
        <w:numPr>
          <w:ilvl w:val="1"/>
          <w:numId w:val="22"/>
        </w:numPr>
        <w:spacing w:line="240" w:lineRule="auto"/>
        <w:rPr>
          <w:rFonts w:ascii="Times New Roman" w:hAnsi="Times New Roman" w:cs="Times New Roman"/>
          <w:sz w:val="24"/>
          <w:szCs w:val="24"/>
        </w:rPr>
      </w:pPr>
      <w:bookmarkStart w:id="105" w:name="_Toc10102"/>
      <w:bookmarkStart w:id="106" w:name="_Toc26466"/>
      <w:bookmarkStart w:id="107" w:name="_Toc17535"/>
      <w:bookmarkStart w:id="108" w:name="_Toc220710793"/>
      <w:r>
        <w:rPr>
          <w:rFonts w:ascii="Times New Roman" w:hAnsi="Times New Roman" w:cs="Times New Roman"/>
          <w:sz w:val="24"/>
          <w:szCs w:val="24"/>
        </w:rPr>
        <w:t>Socio-Economic activities and Infrastructure</w:t>
      </w:r>
      <w:bookmarkEnd w:id="105"/>
      <w:bookmarkEnd w:id="106"/>
      <w:bookmarkEnd w:id="107"/>
      <w:bookmarkEnd w:id="108"/>
    </w:p>
    <w:p w14:paraId="6FBEF16D">
      <w:pPr>
        <w:pStyle w:val="4"/>
        <w:numPr>
          <w:ilvl w:val="0"/>
          <w:numId w:val="0"/>
        </w:numPr>
        <w:shd w:val="clear" w:color="auto" w:fill="auto"/>
        <w:spacing w:line="240" w:lineRule="auto"/>
        <w:ind w:left="720"/>
        <w:rPr>
          <w:rFonts w:ascii="Times New Roman" w:hAnsi="Times New Roman"/>
        </w:rPr>
      </w:pPr>
      <w:bookmarkStart w:id="109" w:name="_Toc220710794"/>
      <w:bookmarkStart w:id="110" w:name="_Toc173"/>
      <w:bookmarkStart w:id="111" w:name="_Toc30506"/>
      <w:bookmarkStart w:id="112" w:name="_Toc30593"/>
      <w:r>
        <w:rPr>
          <w:rFonts w:ascii="Times New Roman" w:hAnsi="Times New Roman"/>
        </w:rPr>
        <w:t>3.2.1</w:t>
      </w:r>
      <w:r>
        <w:rPr>
          <w:rFonts w:ascii="Times New Roman" w:hAnsi="Times New Roman"/>
        </w:rPr>
        <w:tab/>
      </w:r>
      <w:r>
        <w:rPr>
          <w:rFonts w:ascii="Times New Roman" w:hAnsi="Times New Roman"/>
        </w:rPr>
        <w:t>Economic Activities</w:t>
      </w:r>
      <w:bookmarkEnd w:id="109"/>
      <w:bookmarkEnd w:id="110"/>
      <w:bookmarkEnd w:id="111"/>
      <w:bookmarkEnd w:id="112"/>
    </w:p>
    <w:p w14:paraId="0B40D5D7">
      <w:pPr>
        <w:pStyle w:val="5"/>
        <w:spacing w:line="240" w:lineRule="auto"/>
      </w:pPr>
      <w:r>
        <w:t>Introduction</w:t>
      </w:r>
    </w:p>
    <w:p w14:paraId="51585AAB">
      <w:pPr>
        <w:spacing w:line="240" w:lineRule="auto"/>
        <w:jc w:val="both"/>
        <w:rPr>
          <w:rFonts w:ascii="Times New Roman" w:hAnsi="Times New Roman"/>
          <w:szCs w:val="24"/>
        </w:rPr>
      </w:pPr>
      <w:r>
        <w:rPr>
          <w:rFonts w:ascii="Times New Roman" w:hAnsi="Times New Roman"/>
          <w:szCs w:val="24"/>
        </w:rPr>
        <w:t>The larger Kilifi County is endowed with numerous natural resources that have determined its economy. These include numerous tourist sites in Malindi and Kilifi towns, arable land the ocean and pastureland for livestock.  The main economic activities include Tourism, Farming, Fishing, Livestock farming, cement manufacturing and Food Processing. At present, the proposed project site (KIMAWASCO Head Office) does not have major commercial or private income-generating activities occur at the site beyond its public utility functions.</w:t>
      </w:r>
    </w:p>
    <w:p w14:paraId="459B297D">
      <w:pPr>
        <w:pStyle w:val="4"/>
        <w:numPr>
          <w:ilvl w:val="2"/>
          <w:numId w:val="23"/>
        </w:numPr>
        <w:shd w:val="clear" w:color="auto" w:fill="auto"/>
        <w:spacing w:line="240" w:lineRule="auto"/>
        <w:rPr>
          <w:rFonts w:ascii="Times New Roman" w:hAnsi="Times New Roman"/>
        </w:rPr>
      </w:pPr>
      <w:bookmarkStart w:id="113" w:name="_Toc16171"/>
      <w:bookmarkStart w:id="114" w:name="_Toc11068"/>
      <w:bookmarkStart w:id="115" w:name="_Toc27730"/>
      <w:bookmarkStart w:id="116" w:name="_Toc536685054"/>
      <w:bookmarkStart w:id="117" w:name="_Toc220710795"/>
      <w:r>
        <w:rPr>
          <w:rFonts w:ascii="Times New Roman" w:hAnsi="Times New Roman"/>
        </w:rPr>
        <w:t>Land Use</w:t>
      </w:r>
      <w:bookmarkEnd w:id="113"/>
      <w:bookmarkEnd w:id="114"/>
      <w:bookmarkEnd w:id="115"/>
      <w:bookmarkEnd w:id="116"/>
      <w:bookmarkEnd w:id="117"/>
    </w:p>
    <w:p w14:paraId="6C93724E">
      <w:pPr>
        <w:spacing w:line="240" w:lineRule="auto"/>
        <w:jc w:val="both"/>
        <w:rPr>
          <w:rFonts w:ascii="Times New Roman" w:hAnsi="Times New Roman"/>
          <w:szCs w:val="24"/>
        </w:rPr>
      </w:pPr>
      <w:r>
        <w:rPr>
          <w:rFonts w:ascii="Times New Roman" w:hAnsi="Times New Roman"/>
          <w:szCs w:val="24"/>
        </w:rPr>
        <w:t>The site currently hosts administrative offices that are used for the management of water supply and sanitation services, including billing and revenue collection for water provision services within the service area. The land hosts administrative offices that support the management of water supply and sanitation services, including customer service and revenue collection for water provision. The site is officially designated for water and sanitation–related activities and does not support agricultural, residential, commercial, or informal economic land uses. No land take, land-use change, or displacement of existing land uses is anticipated as a result of the proposed construction of the ablution block.</w:t>
      </w:r>
    </w:p>
    <w:p w14:paraId="6F9508A1">
      <w:pPr>
        <w:pStyle w:val="4"/>
        <w:numPr>
          <w:ilvl w:val="2"/>
          <w:numId w:val="23"/>
        </w:numPr>
        <w:shd w:val="clear" w:color="auto" w:fill="auto"/>
        <w:spacing w:line="240" w:lineRule="auto"/>
        <w:ind w:left="720"/>
        <w:rPr>
          <w:rFonts w:ascii="Times New Roman" w:hAnsi="Times New Roman"/>
        </w:rPr>
      </w:pPr>
      <w:bookmarkStart w:id="118" w:name="_Toc220710796"/>
      <w:r>
        <w:rPr>
          <w:rFonts w:ascii="Times New Roman" w:hAnsi="Times New Roman"/>
        </w:rPr>
        <w:t>Infrastructure</w:t>
      </w:r>
      <w:bookmarkEnd w:id="118"/>
      <w:r>
        <w:rPr>
          <w:rFonts w:ascii="Times New Roman" w:hAnsi="Times New Roman"/>
        </w:rPr>
        <w:t xml:space="preserve">  </w:t>
      </w:r>
    </w:p>
    <w:p w14:paraId="4378F0B7">
      <w:pPr>
        <w:spacing w:line="240" w:lineRule="auto"/>
        <w:jc w:val="both"/>
        <w:rPr>
          <w:rFonts w:ascii="Times New Roman" w:hAnsi="Times New Roman"/>
        </w:rPr>
      </w:pPr>
      <w:r>
        <w:rPr>
          <w:rFonts w:ascii="Times New Roman" w:hAnsi="Times New Roman"/>
          <w:szCs w:val="24"/>
        </w:rPr>
        <w:t>The existing site is served by basic infrastructure associated with its administrative function. This includes permanent office buildings, access roads, electricity supply, and water connections provided by the water and sanitation company. Sanitation infrastructure at the site is currently inadequate or limited, necessitating the proposed construction of an ablution block to improve hygiene and welfare for staff and visitors. The site is accessible by existing road networks and is integrated within the company’s operational infrastructure.</w:t>
      </w:r>
    </w:p>
    <w:p w14:paraId="11B7696F">
      <w:pPr>
        <w:pStyle w:val="4"/>
        <w:numPr>
          <w:ilvl w:val="2"/>
          <w:numId w:val="23"/>
        </w:numPr>
        <w:shd w:val="clear" w:color="auto" w:fill="auto"/>
        <w:spacing w:line="240" w:lineRule="auto"/>
        <w:ind w:left="720"/>
        <w:rPr>
          <w:rFonts w:ascii="Times New Roman" w:hAnsi="Times New Roman"/>
        </w:rPr>
      </w:pPr>
      <w:bookmarkStart w:id="119" w:name="_Toc220710797"/>
      <w:bookmarkStart w:id="120" w:name="_Toc7294"/>
      <w:bookmarkStart w:id="121" w:name="_Toc10155"/>
      <w:bookmarkStart w:id="122" w:name="_Toc22985"/>
      <w:r>
        <w:rPr>
          <w:rFonts w:ascii="Times New Roman" w:hAnsi="Times New Roman"/>
        </w:rPr>
        <w:t>Settlement</w:t>
      </w:r>
      <w:bookmarkEnd w:id="119"/>
      <w:r>
        <w:rPr>
          <w:rFonts w:ascii="Times New Roman" w:hAnsi="Times New Roman"/>
        </w:rPr>
        <w:t xml:space="preserve"> </w:t>
      </w:r>
      <w:bookmarkEnd w:id="120"/>
      <w:bookmarkEnd w:id="121"/>
      <w:bookmarkEnd w:id="122"/>
      <w:bookmarkStart w:id="123" w:name="_Toc220425994"/>
      <w:bookmarkEnd w:id="123"/>
      <w:bookmarkStart w:id="124" w:name="_Toc220425993"/>
      <w:bookmarkEnd w:id="124"/>
      <w:bookmarkStart w:id="125" w:name="_Toc42767715"/>
      <w:bookmarkEnd w:id="125"/>
      <w:bookmarkStart w:id="126" w:name="_Toc220425995"/>
      <w:bookmarkEnd w:id="126"/>
    </w:p>
    <w:p w14:paraId="44548FB4">
      <w:pPr>
        <w:spacing w:line="240" w:lineRule="auto"/>
        <w:jc w:val="both"/>
        <w:rPr>
          <w:rFonts w:ascii="Times New Roman" w:hAnsi="Times New Roman"/>
          <w:szCs w:val="24"/>
        </w:rPr>
      </w:pPr>
      <w:r>
        <w:rPr>
          <w:rFonts w:ascii="Times New Roman" w:hAnsi="Times New Roman"/>
          <w:szCs w:val="24"/>
        </w:rPr>
        <w:t>The proposed project site is located within an institutional setting and is not used for residential settlement. No permanent or temporary housing exists within the site boundaries. Surrounding areas are characterized by mixed land uses typical of service or urban areas, with staff commuting daily to the offices. The proposed project will not result in physical or economic displacement, and no resettlement</w:t>
      </w:r>
      <w:r>
        <w:rPr>
          <w:rFonts w:ascii="Times New Roman" w:hAnsi="Times New Roman"/>
          <w:szCs w:val="24"/>
          <w:lang w:val="en-US"/>
        </w:rPr>
        <w:t xml:space="preserve"> planning</w:t>
      </w:r>
      <w:r>
        <w:rPr>
          <w:rFonts w:ascii="Times New Roman" w:hAnsi="Times New Roman"/>
          <w:szCs w:val="24"/>
        </w:rPr>
        <w:t xml:space="preserve"> is required</w:t>
      </w:r>
      <w:r>
        <w:rPr>
          <w:rFonts w:ascii="Times New Roman" w:hAnsi="Times New Roman"/>
        </w:rPr>
        <w:t>.</w:t>
      </w:r>
    </w:p>
    <w:p w14:paraId="7B19D80F">
      <w:pPr>
        <w:pStyle w:val="3"/>
        <w:numPr>
          <w:ilvl w:val="1"/>
          <w:numId w:val="23"/>
        </w:numPr>
        <w:spacing w:line="240" w:lineRule="auto"/>
        <w:rPr>
          <w:rFonts w:ascii="Times New Roman" w:hAnsi="Times New Roman" w:cs="Times New Roman"/>
          <w:sz w:val="24"/>
          <w:szCs w:val="24"/>
        </w:rPr>
      </w:pPr>
      <w:bookmarkStart w:id="127" w:name="_Toc220710798"/>
      <w:bookmarkStart w:id="128" w:name="_Toc2498"/>
      <w:bookmarkStart w:id="129" w:name="_Toc31212"/>
      <w:bookmarkStart w:id="130" w:name="_Toc536685046"/>
      <w:bookmarkStart w:id="131" w:name="_Toc3378"/>
      <w:r>
        <w:rPr>
          <w:rFonts w:ascii="Times New Roman" w:hAnsi="Times New Roman" w:cs="Times New Roman"/>
          <w:sz w:val="24"/>
          <w:szCs w:val="24"/>
        </w:rPr>
        <w:t>Physiographic and Environmental Conditions</w:t>
      </w:r>
      <w:bookmarkEnd w:id="127"/>
      <w:bookmarkEnd w:id="128"/>
      <w:bookmarkEnd w:id="129"/>
      <w:bookmarkEnd w:id="130"/>
      <w:bookmarkEnd w:id="131"/>
    </w:p>
    <w:p w14:paraId="2982B854">
      <w:pPr>
        <w:pStyle w:val="4"/>
        <w:numPr>
          <w:ilvl w:val="0"/>
          <w:numId w:val="0"/>
        </w:numPr>
        <w:shd w:val="clear" w:color="auto" w:fill="auto"/>
        <w:spacing w:line="240" w:lineRule="auto"/>
        <w:ind w:left="840"/>
        <w:rPr>
          <w:rFonts w:ascii="Times New Roman" w:hAnsi="Times New Roman"/>
        </w:rPr>
      </w:pPr>
      <w:bookmarkStart w:id="132" w:name="_Toc16493"/>
      <w:bookmarkStart w:id="133" w:name="_Toc21140"/>
      <w:bookmarkStart w:id="134" w:name="_Toc220710799"/>
      <w:bookmarkStart w:id="135" w:name="_Toc27797"/>
      <w:bookmarkStart w:id="136" w:name="_Toc536685047"/>
      <w:r>
        <w:rPr>
          <w:rFonts w:ascii="Times New Roman" w:hAnsi="Times New Roman"/>
        </w:rPr>
        <w:t>3.3.1</w:t>
      </w:r>
      <w:r>
        <w:rPr>
          <w:rFonts w:ascii="Times New Roman" w:hAnsi="Times New Roman"/>
        </w:rPr>
        <w:tab/>
      </w:r>
      <w:r>
        <w:rPr>
          <w:rFonts w:ascii="Times New Roman" w:hAnsi="Times New Roman"/>
        </w:rPr>
        <w:t>Climate</w:t>
      </w:r>
      <w:bookmarkEnd w:id="132"/>
      <w:bookmarkEnd w:id="133"/>
      <w:bookmarkEnd w:id="134"/>
      <w:bookmarkEnd w:id="135"/>
      <w:bookmarkEnd w:id="136"/>
    </w:p>
    <w:p w14:paraId="16E6322E">
      <w:pPr>
        <w:spacing w:line="240" w:lineRule="auto"/>
        <w:jc w:val="both"/>
        <w:rPr>
          <w:rFonts w:ascii="Times New Roman" w:hAnsi="Times New Roman"/>
          <w:szCs w:val="24"/>
        </w:rPr>
      </w:pPr>
      <w:r>
        <w:rPr>
          <w:rFonts w:ascii="Times New Roman" w:hAnsi="Times New Roman"/>
          <w:szCs w:val="24"/>
        </w:rPr>
        <w:t>Kilifi county has a bimodal rainfall pattern with average annual precipitation ranging from 300mm in the hinterland to 1,300mm in the coastal belt. The coastal belt receives an average annual rainfall of about 900mm to 1,300mm while the hinterland receives an average annual rainfall of about 300mm to 900mm. The short rain season is experienced in the months of October, November and December while the Long rains are experienced in the months of March–April and May. The most important season to the hinterland is the short rains for pasture regeneration and water recharge while the long rain season is the most important season for the coastal area for crop production. Areas receiving highest average annual mean evaporation ranges from 1800mm along the coastal strip to 2200mm in the Nyika plateau in the hinterland. The highest evaporation rates are experienced during the months of January to March in the county.</w:t>
      </w:r>
    </w:p>
    <w:p w14:paraId="181FC303">
      <w:pPr>
        <w:spacing w:line="240" w:lineRule="auto"/>
        <w:jc w:val="both"/>
        <w:rPr>
          <w:rFonts w:ascii="Times New Roman" w:hAnsi="Times New Roman"/>
          <w:szCs w:val="24"/>
        </w:rPr>
      </w:pPr>
      <w:r>
        <w:rPr>
          <w:rFonts w:ascii="Times New Roman" w:hAnsi="Times New Roman"/>
          <w:szCs w:val="24"/>
        </w:rPr>
        <w:t>The annual temperatures range between 21</w:t>
      </w:r>
      <w:r>
        <w:rPr>
          <w:rFonts w:ascii="Times New Roman" w:hAnsi="Times New Roman"/>
          <w:szCs w:val="24"/>
          <w:vertAlign w:val="superscript"/>
        </w:rPr>
        <w:t>0</w:t>
      </w:r>
      <w:r>
        <w:rPr>
          <w:rFonts w:ascii="Times New Roman" w:hAnsi="Times New Roman"/>
          <w:szCs w:val="24"/>
        </w:rPr>
        <w:t>C and 30</w:t>
      </w:r>
      <w:r>
        <w:rPr>
          <w:rFonts w:ascii="Times New Roman" w:hAnsi="Times New Roman"/>
          <w:szCs w:val="24"/>
          <w:vertAlign w:val="superscript"/>
        </w:rPr>
        <w:t>0</w:t>
      </w:r>
      <w:r>
        <w:rPr>
          <w:rFonts w:ascii="Times New Roman" w:hAnsi="Times New Roman"/>
          <w:szCs w:val="24"/>
        </w:rPr>
        <w:t>C in the coastal belt and between 30</w:t>
      </w:r>
      <w:r>
        <w:rPr>
          <w:rFonts w:ascii="Times New Roman" w:hAnsi="Times New Roman"/>
          <w:szCs w:val="24"/>
          <w:vertAlign w:val="superscript"/>
        </w:rPr>
        <w:t>0</w:t>
      </w:r>
      <w:r>
        <w:rPr>
          <w:rFonts w:ascii="Times New Roman" w:hAnsi="Times New Roman"/>
          <w:szCs w:val="24"/>
        </w:rPr>
        <w:t>C and 34</w:t>
      </w:r>
      <w:r>
        <w:rPr>
          <w:rFonts w:ascii="Times New Roman" w:hAnsi="Times New Roman"/>
          <w:szCs w:val="24"/>
          <w:vertAlign w:val="superscript"/>
        </w:rPr>
        <w:t>0</w:t>
      </w:r>
      <w:r>
        <w:rPr>
          <w:rFonts w:ascii="Times New Roman" w:hAnsi="Times New Roman"/>
          <w:szCs w:val="24"/>
        </w:rPr>
        <w:t>C in the hinterland. The county experiences a very important wind field with relatively moderate wind speeds ranging from 4.8Km/h along the coastal strip to 12km/h in the hinterlands.</w:t>
      </w:r>
    </w:p>
    <w:p w14:paraId="15891BB1">
      <w:pPr>
        <w:spacing w:line="240" w:lineRule="auto"/>
        <w:rPr>
          <w:rFonts w:ascii="Times New Roman" w:hAnsi="Times New Roman"/>
          <w:szCs w:val="24"/>
        </w:rPr>
      </w:pPr>
      <w:r>
        <w:rPr>
          <w:rFonts w:ascii="Times New Roman" w:hAnsi="Times New Roman"/>
          <w:szCs w:val="24"/>
          <w:lang w:val="en-US"/>
        </w:rPr>
        <w:drawing>
          <wp:inline distT="0" distB="0" distL="114300" distR="114300">
            <wp:extent cx="5730875" cy="2327910"/>
            <wp:effectExtent l="0" t="0" r="3175" b="15240"/>
            <wp:docPr id="105" name="Picture 7" descr="F:\work\2019\kilifi ESIA RAP\maps\Average-Rainfall-for-Kilifi-Ke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7" descr="F:\work\2019\kilifi ESIA RAP\maps\Average-Rainfall-for-Kilifi-Kenya.png"/>
                    <pic:cNvPicPr>
                      <a:picLocks noChangeAspect="1"/>
                    </pic:cNvPicPr>
                  </pic:nvPicPr>
                  <pic:blipFill>
                    <a:blip r:embed="rId32"/>
                    <a:stretch>
                      <a:fillRect/>
                    </a:stretch>
                  </pic:blipFill>
                  <pic:spPr>
                    <a:xfrm>
                      <a:off x="0" y="0"/>
                      <a:ext cx="5730875" cy="2327910"/>
                    </a:xfrm>
                    <a:prstGeom prst="rect">
                      <a:avLst/>
                    </a:prstGeom>
                    <a:noFill/>
                    <a:ln>
                      <a:noFill/>
                    </a:ln>
                  </pic:spPr>
                </pic:pic>
              </a:graphicData>
            </a:graphic>
          </wp:inline>
        </w:drawing>
      </w:r>
    </w:p>
    <w:p w14:paraId="47F8015C">
      <w:pPr>
        <w:pStyle w:val="10"/>
        <w:ind w:left="720"/>
        <w:rPr>
          <w:rFonts w:ascii="Times New Roman" w:hAnsi="Times New Roman"/>
          <w:color w:val="auto"/>
        </w:rPr>
      </w:pPr>
      <w:r>
        <w:rPr>
          <w:rFonts w:ascii="Times New Roman" w:hAnsi="Times New Roman"/>
          <w:b/>
          <w:bCs/>
          <w:color w:val="auto"/>
        </w:rPr>
        <w:t xml:space="preserve">Figure </w:t>
      </w:r>
      <w:r>
        <w:rPr>
          <w:rFonts w:ascii="Times New Roman" w:hAnsi="Times New Roman"/>
          <w:b/>
          <w:bCs/>
          <w:color w:val="auto"/>
        </w:rPr>
        <w:fldChar w:fldCharType="begin"/>
      </w:r>
      <w:r>
        <w:rPr>
          <w:rFonts w:ascii="Times New Roman" w:hAnsi="Times New Roman"/>
          <w:b/>
          <w:bCs/>
          <w:color w:val="auto"/>
        </w:rPr>
        <w:instrText xml:space="preserve"> SEQ Figure \* ARABIC </w:instrText>
      </w:r>
      <w:r>
        <w:rPr>
          <w:rFonts w:ascii="Times New Roman" w:hAnsi="Times New Roman"/>
          <w:b/>
          <w:bCs/>
          <w:color w:val="auto"/>
        </w:rPr>
        <w:fldChar w:fldCharType="separate"/>
      </w:r>
      <w:r>
        <w:rPr>
          <w:rFonts w:ascii="Times New Roman" w:hAnsi="Times New Roman"/>
          <w:b/>
          <w:bCs/>
          <w:color w:val="auto"/>
        </w:rPr>
        <w:t>6</w:t>
      </w:r>
      <w:r>
        <w:rPr>
          <w:rFonts w:ascii="Times New Roman" w:hAnsi="Times New Roman"/>
          <w:b/>
          <w:bCs/>
          <w:color w:val="auto"/>
        </w:rPr>
        <w:fldChar w:fldCharType="end"/>
      </w:r>
      <w:bookmarkStart w:id="137" w:name="_Toc737"/>
      <w:bookmarkStart w:id="138" w:name="_Toc12397"/>
      <w:r>
        <w:rPr>
          <w:rFonts w:ascii="Times New Roman" w:hAnsi="Times New Roman"/>
          <w:b/>
          <w:bCs/>
          <w:color w:val="auto"/>
        </w:rPr>
        <w:t xml:space="preserve">   :  Precipitation in Kilifi County</w:t>
      </w:r>
      <w:r>
        <w:rPr>
          <w:rFonts w:ascii="Times New Roman" w:hAnsi="Times New Roman"/>
          <w:color w:val="auto"/>
        </w:rPr>
        <w:t xml:space="preserve"> (Source: en.climate-data.org)</w:t>
      </w:r>
      <w:bookmarkEnd w:id="137"/>
      <w:bookmarkEnd w:id="138"/>
    </w:p>
    <w:p w14:paraId="1058F8C5">
      <w:pPr>
        <w:spacing w:line="240" w:lineRule="auto"/>
        <w:rPr>
          <w:rFonts w:ascii="Times New Roman" w:hAnsi="Times New Roman"/>
          <w:szCs w:val="24"/>
        </w:rPr>
      </w:pPr>
      <w:r>
        <w:rPr>
          <w:rFonts w:ascii="Times New Roman" w:hAnsi="Times New Roman"/>
          <w:szCs w:val="24"/>
          <w:lang w:val="en-US"/>
        </w:rPr>
        <w:drawing>
          <wp:inline distT="0" distB="0" distL="114300" distR="114300">
            <wp:extent cx="5731510" cy="3475355"/>
            <wp:effectExtent l="0" t="0" r="2540" b="10795"/>
            <wp:docPr id="103" name="Picture 8" descr="F:\work\2019\kilifi ESIA RAP\maps\Average-High-Low-Temperature-for-Kilifi-Ke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8" descr="F:\work\2019\kilifi ESIA RAP\maps\Average-High-Low-Temperature-for-Kilifi-Kenya.png"/>
                    <pic:cNvPicPr>
                      <a:picLocks noChangeAspect="1"/>
                    </pic:cNvPicPr>
                  </pic:nvPicPr>
                  <pic:blipFill>
                    <a:blip r:embed="rId33"/>
                    <a:stretch>
                      <a:fillRect/>
                    </a:stretch>
                  </pic:blipFill>
                  <pic:spPr>
                    <a:xfrm>
                      <a:off x="0" y="0"/>
                      <a:ext cx="5731510" cy="3475355"/>
                    </a:xfrm>
                    <a:prstGeom prst="rect">
                      <a:avLst/>
                    </a:prstGeom>
                    <a:noFill/>
                    <a:ln>
                      <a:noFill/>
                    </a:ln>
                  </pic:spPr>
                </pic:pic>
              </a:graphicData>
            </a:graphic>
          </wp:inline>
        </w:drawing>
      </w:r>
    </w:p>
    <w:p w14:paraId="404C68F2">
      <w:pPr>
        <w:pStyle w:val="10"/>
        <w:rPr>
          <w:rFonts w:ascii="Times New Roman" w:hAnsi="Times New Roman"/>
          <w:color w:val="auto"/>
        </w:rPr>
      </w:pPr>
      <w:r>
        <w:rPr>
          <w:rFonts w:ascii="Times New Roman" w:hAnsi="Times New Roman"/>
          <w:b/>
          <w:bCs/>
          <w:i w:val="0"/>
          <w:iCs w:val="0"/>
          <w:color w:val="auto"/>
        </w:rPr>
        <w:t xml:space="preserve">Figure 10: Temperatures in Kilifi County </w:t>
      </w:r>
      <w:r>
        <w:rPr>
          <w:rFonts w:ascii="Times New Roman" w:hAnsi="Times New Roman"/>
          <w:color w:val="auto"/>
        </w:rPr>
        <w:t>(Source: en.climate-data.org)</w:t>
      </w:r>
    </w:p>
    <w:p w14:paraId="4E62DB6A">
      <w:pPr>
        <w:pStyle w:val="4"/>
        <w:numPr>
          <w:ilvl w:val="2"/>
          <w:numId w:val="23"/>
        </w:numPr>
        <w:shd w:val="clear" w:color="auto" w:fill="auto"/>
        <w:spacing w:line="240" w:lineRule="auto"/>
        <w:rPr>
          <w:rFonts w:ascii="Times New Roman" w:hAnsi="Times New Roman"/>
        </w:rPr>
      </w:pPr>
      <w:bookmarkStart w:id="139" w:name="_Toc192244232"/>
      <w:bookmarkEnd w:id="139"/>
      <w:bookmarkStart w:id="140" w:name="_Toc192242504"/>
      <w:bookmarkEnd w:id="140"/>
      <w:bookmarkStart w:id="141" w:name="_Toc192150869"/>
      <w:bookmarkEnd w:id="141"/>
      <w:bookmarkStart w:id="142" w:name="_Toc192253557"/>
      <w:bookmarkEnd w:id="142"/>
      <w:bookmarkStart w:id="143" w:name="_Toc192243487"/>
      <w:bookmarkEnd w:id="143"/>
      <w:bookmarkStart w:id="144" w:name="_Toc32498"/>
      <w:bookmarkStart w:id="145" w:name="_Toc536685048"/>
      <w:bookmarkStart w:id="146" w:name="_Toc220710800"/>
      <w:bookmarkStart w:id="147" w:name="_Toc21683"/>
      <w:bookmarkStart w:id="148" w:name="_Toc22578"/>
      <w:r>
        <w:rPr>
          <w:rFonts w:ascii="Times New Roman" w:hAnsi="Times New Roman"/>
        </w:rPr>
        <w:t>Topography</w:t>
      </w:r>
      <w:bookmarkEnd w:id="144"/>
      <w:bookmarkEnd w:id="145"/>
      <w:bookmarkEnd w:id="146"/>
      <w:bookmarkEnd w:id="147"/>
      <w:bookmarkEnd w:id="148"/>
      <w:r>
        <w:rPr>
          <w:rFonts w:ascii="Times New Roman" w:hAnsi="Times New Roman"/>
        </w:rPr>
        <w:t xml:space="preserve"> </w:t>
      </w:r>
    </w:p>
    <w:p w14:paraId="418840A2">
      <w:pPr>
        <w:spacing w:line="240" w:lineRule="auto"/>
        <w:jc w:val="both"/>
        <w:rPr>
          <w:rFonts w:ascii="Times New Roman" w:hAnsi="Times New Roman"/>
          <w:szCs w:val="24"/>
        </w:rPr>
      </w:pPr>
      <w:r>
        <w:rPr>
          <w:rFonts w:ascii="Times New Roman" w:hAnsi="Times New Roman"/>
          <w:szCs w:val="24"/>
        </w:rPr>
        <w:t xml:space="preserve">Kilifi County has three major topographical features with marked geological and rainfall characteristics which dictate the resource potential and land use patterns. These are the Coastal Plain, the Foot Plateau and the Coastal Range. </w:t>
      </w:r>
    </w:p>
    <w:p w14:paraId="23245980">
      <w:pPr>
        <w:spacing w:line="240" w:lineRule="auto"/>
        <w:jc w:val="both"/>
        <w:rPr>
          <w:rFonts w:ascii="Times New Roman" w:hAnsi="Times New Roman"/>
          <w:szCs w:val="24"/>
        </w:rPr>
      </w:pPr>
      <w:r>
        <w:rPr>
          <w:rFonts w:ascii="Times New Roman" w:hAnsi="Times New Roman"/>
          <w:szCs w:val="24"/>
        </w:rPr>
        <w:t xml:space="preserve">The topography of the project sites is generally flat with minimal undulations and changes in elevation and relief. The land generally slopes towards the ocean. The sites for the ablution block are located within urban areas and are therefore surrounded by buildings used for offices and residences. The proposed project site in KIMAWASCO Head Office in Kilifi is </w:t>
      </w:r>
      <w:r>
        <w:rPr>
          <w:rFonts w:ascii="Times New Roman" w:hAnsi="Times New Roman"/>
          <w:szCs w:val="24"/>
          <w:lang w:val="en-US"/>
        </w:rPr>
        <w:t>characterised</w:t>
      </w:r>
      <w:r>
        <w:rPr>
          <w:rFonts w:ascii="Times New Roman" w:hAnsi="Times New Roman"/>
          <w:szCs w:val="24"/>
        </w:rPr>
        <w:t xml:space="preserve"> by relatively flat terrain. The area's topography may be subtly influenced by coastal processes, with features shaped by historical marine activity and gradual deposition of sediments over time. </w:t>
      </w:r>
    </w:p>
    <w:p w14:paraId="448A4463">
      <w:pPr>
        <w:pStyle w:val="4"/>
        <w:numPr>
          <w:ilvl w:val="2"/>
          <w:numId w:val="23"/>
        </w:numPr>
        <w:shd w:val="clear" w:color="auto" w:fill="auto"/>
        <w:spacing w:line="240" w:lineRule="auto"/>
        <w:rPr>
          <w:rFonts w:ascii="Times New Roman" w:hAnsi="Times New Roman"/>
        </w:rPr>
      </w:pPr>
      <w:bookmarkStart w:id="149" w:name="_Toc220710801"/>
      <w:bookmarkStart w:id="150" w:name="_Toc31494"/>
      <w:bookmarkStart w:id="151" w:name="_Toc29834"/>
      <w:bookmarkStart w:id="152" w:name="_Toc15407"/>
      <w:bookmarkStart w:id="153" w:name="_Toc536685049"/>
      <w:r>
        <w:rPr>
          <w:rFonts w:ascii="Times New Roman" w:hAnsi="Times New Roman"/>
        </w:rPr>
        <w:t>Geology and Soils</w:t>
      </w:r>
      <w:bookmarkEnd w:id="149"/>
      <w:bookmarkEnd w:id="150"/>
      <w:bookmarkEnd w:id="151"/>
      <w:bookmarkEnd w:id="152"/>
      <w:bookmarkEnd w:id="153"/>
    </w:p>
    <w:p w14:paraId="076E6F59">
      <w:pPr>
        <w:spacing w:line="240" w:lineRule="auto"/>
        <w:jc w:val="both"/>
        <w:rPr>
          <w:rFonts w:ascii="Times New Roman" w:hAnsi="Times New Roman"/>
          <w:szCs w:val="24"/>
        </w:rPr>
      </w:pPr>
      <w:r>
        <w:rPr>
          <w:rFonts w:ascii="Times New Roman" w:hAnsi="Times New Roman"/>
          <w:szCs w:val="24"/>
        </w:rPr>
        <w:t xml:space="preserve">The geology of the Kenyan coast is dominated by rifting and breakup of the Paleozoic Gondwana continent and the development of the Indian Ocean. The Proterozoic gneisses of the Mozambique belt form the basement of an intracratonic basin, filled with continental permo- Triassic classics. The sea-level changes, isostatic readjustments and the tectonic movements </w:t>
      </w:r>
      <w:bookmarkStart w:id="154" w:name="_Hlk192150292"/>
      <w:r>
        <w:rPr>
          <w:rFonts w:ascii="Times New Roman" w:hAnsi="Times New Roman"/>
          <w:szCs w:val="24"/>
        </w:rPr>
        <w:t xml:space="preserve">contribute to the geomorphology of the Kenyan coast. The region is divided into three main physiographic belts namely the flat coastal plain. Next, are the broken severely dissected and </w:t>
      </w:r>
      <w:bookmarkStart w:id="155" w:name="_Hlk192152954"/>
      <w:r>
        <w:rPr>
          <w:rFonts w:ascii="Times New Roman" w:hAnsi="Times New Roman"/>
          <w:szCs w:val="24"/>
        </w:rPr>
        <w:t>eroded belts that consist of the Jurassic Shale overlain in places by a residual sandy plateau. Finally, there is the undulating plateau of sandstone that is divided from the Jurassic belt by a scarp fault.</w:t>
      </w:r>
    </w:p>
    <w:p w14:paraId="32B25398">
      <w:pPr>
        <w:spacing w:line="240" w:lineRule="auto"/>
        <w:jc w:val="both"/>
        <w:rPr>
          <w:rFonts w:ascii="Times New Roman" w:hAnsi="Times New Roman"/>
          <w:szCs w:val="24"/>
        </w:rPr>
      </w:pPr>
      <w:r>
        <w:rPr>
          <w:rFonts w:ascii="Times New Roman" w:hAnsi="Times New Roman"/>
          <w:szCs w:val="24"/>
        </w:rPr>
        <w:t>Areas around the sea have Pleistocene coral reef mainly used as a source of limestone for the cement industry and source of building stone. The seashore of the Kenyan coast has extensive sand beaches which makes a town an attractive tourist destination area. The mineral sands occur in various parts of the Kenyan coast in almost similar geologic environments. Geochemically, mineral sand deposits contain ilmenite, rutile, zirconium as well as other minerals and trace elements that could be of radioactive nature, such as thorium.</w:t>
      </w:r>
    </w:p>
    <w:p w14:paraId="7E3DB2C6">
      <w:pPr>
        <w:spacing w:line="240" w:lineRule="auto"/>
        <w:jc w:val="both"/>
        <w:rPr>
          <w:rFonts w:ascii="Times New Roman" w:hAnsi="Times New Roman"/>
          <w:szCs w:val="24"/>
        </w:rPr>
      </w:pPr>
      <w:r>
        <w:rPr>
          <w:rFonts w:ascii="Times New Roman" w:hAnsi="Times New Roman"/>
          <w:szCs w:val="24"/>
        </w:rPr>
        <w:t>Soils in the region gradually change to sandy clayey gravel at depths of 2 – 2.5m deep. The soil types have a strong correlation with the geology and topography of the region and differ widely in depth, texture, physical and chemical properties with variations running parallel to the coastal line due to sedimentation process. The significance of this geological and soil characteristics is the porosity associated with the sedimentary type of soils. Infiltration to the groundwater aquifers of polluting substances from the ground surface is also highly likely. There are five main categories namely;</w:t>
      </w:r>
    </w:p>
    <w:p w14:paraId="20005DDA">
      <w:pPr>
        <w:pStyle w:val="32"/>
        <w:numPr>
          <w:ilvl w:val="0"/>
          <w:numId w:val="24"/>
        </w:numPr>
        <w:spacing w:line="240" w:lineRule="auto"/>
        <w:jc w:val="both"/>
        <w:rPr>
          <w:rFonts w:ascii="Times New Roman" w:hAnsi="Times New Roman"/>
          <w:szCs w:val="24"/>
        </w:rPr>
      </w:pPr>
      <w:r>
        <w:rPr>
          <w:rFonts w:ascii="Times New Roman" w:hAnsi="Times New Roman"/>
          <w:szCs w:val="24"/>
        </w:rPr>
        <w:t xml:space="preserve">Soils developed on higher-level lagoon deposit, sands, which are light with very low fertility, they are excessively drained and very deep. </w:t>
      </w:r>
    </w:p>
    <w:p w14:paraId="491D3ADA">
      <w:pPr>
        <w:pStyle w:val="32"/>
        <w:numPr>
          <w:ilvl w:val="0"/>
          <w:numId w:val="24"/>
        </w:numPr>
        <w:spacing w:line="240" w:lineRule="auto"/>
        <w:jc w:val="both"/>
        <w:rPr>
          <w:rFonts w:ascii="Times New Roman" w:hAnsi="Times New Roman"/>
          <w:szCs w:val="24"/>
        </w:rPr>
      </w:pPr>
      <w:r>
        <w:rPr>
          <w:rFonts w:ascii="Times New Roman" w:hAnsi="Times New Roman"/>
          <w:szCs w:val="24"/>
        </w:rPr>
        <w:t>Soils in the mangrove swamps, they are poorly drained soils, very deep and excessively saline, the soil texture is medium to heavy.</w:t>
      </w:r>
    </w:p>
    <w:p w14:paraId="0167A20E">
      <w:pPr>
        <w:pStyle w:val="32"/>
        <w:numPr>
          <w:ilvl w:val="0"/>
          <w:numId w:val="24"/>
        </w:numPr>
        <w:spacing w:line="240" w:lineRule="auto"/>
        <w:jc w:val="both"/>
        <w:rPr>
          <w:rFonts w:ascii="Times New Roman" w:hAnsi="Times New Roman"/>
          <w:szCs w:val="24"/>
        </w:rPr>
      </w:pPr>
      <w:r>
        <w:rPr>
          <w:rFonts w:ascii="Times New Roman" w:hAnsi="Times New Roman"/>
          <w:szCs w:val="24"/>
        </w:rPr>
        <w:t>Soils developed in shales, they are well-drained to imperfectly drained, they are shallow to moderately deep.</w:t>
      </w:r>
    </w:p>
    <w:p w14:paraId="7FC092ED">
      <w:pPr>
        <w:pStyle w:val="32"/>
        <w:numPr>
          <w:ilvl w:val="0"/>
          <w:numId w:val="24"/>
        </w:numPr>
        <w:spacing w:line="240" w:lineRule="auto"/>
        <w:jc w:val="both"/>
        <w:rPr>
          <w:rFonts w:ascii="Times New Roman" w:hAnsi="Times New Roman"/>
          <w:szCs w:val="24"/>
        </w:rPr>
      </w:pPr>
      <w:r>
        <w:rPr>
          <w:rFonts w:ascii="Times New Roman" w:hAnsi="Times New Roman"/>
          <w:szCs w:val="24"/>
        </w:rPr>
        <w:t>Soils developed on raised coral reef limestone with a mixture of lagoon deposit; these are light soils, medium to heavy texture and of low fertility</w:t>
      </w:r>
    </w:p>
    <w:p w14:paraId="19D195DF">
      <w:pPr>
        <w:pStyle w:val="32"/>
        <w:numPr>
          <w:ilvl w:val="0"/>
          <w:numId w:val="24"/>
        </w:numPr>
        <w:spacing w:line="240" w:lineRule="auto"/>
        <w:jc w:val="both"/>
        <w:rPr>
          <w:rFonts w:ascii="Times New Roman" w:hAnsi="Times New Roman"/>
          <w:szCs w:val="24"/>
        </w:rPr>
      </w:pPr>
      <w:r>
        <w:rPr>
          <w:rFonts w:ascii="Times New Roman" w:hAnsi="Times New Roman"/>
          <w:szCs w:val="24"/>
        </w:rPr>
        <w:t>Soils developed on the lower-level lagoonal deposits are variable and of low fertility. They are complex of very deep soils of varied drainage, colour texture and salinity.</w:t>
      </w:r>
    </w:p>
    <w:p w14:paraId="186F5020">
      <w:pPr>
        <w:spacing w:line="240" w:lineRule="auto"/>
        <w:jc w:val="both"/>
        <w:rPr>
          <w:rFonts w:ascii="Times New Roman" w:hAnsi="Times New Roman"/>
          <w:szCs w:val="24"/>
        </w:rPr>
      </w:pPr>
      <w:r>
        <w:rPr>
          <w:rFonts w:ascii="Times New Roman" w:hAnsi="Times New Roman"/>
          <w:szCs w:val="24"/>
        </w:rPr>
        <w:t>The soils in the proposed project area are primarily sedimentary of origin. It consists of consolidated sand, silts, clays and limestone.  These regional profiles match the geological and soil characteristics of the proposed site.</w:t>
      </w:r>
    </w:p>
    <w:p w14:paraId="01619360">
      <w:pPr>
        <w:pStyle w:val="4"/>
        <w:numPr>
          <w:ilvl w:val="0"/>
          <w:numId w:val="0"/>
        </w:numPr>
        <w:shd w:val="clear" w:color="auto" w:fill="auto"/>
        <w:spacing w:line="240" w:lineRule="auto"/>
        <w:ind w:left="840"/>
        <w:rPr>
          <w:rFonts w:ascii="Times New Roman" w:hAnsi="Times New Roman"/>
        </w:rPr>
      </w:pPr>
      <w:bookmarkStart w:id="156" w:name="_Toc20031"/>
      <w:bookmarkStart w:id="157" w:name="_Toc4144"/>
      <w:bookmarkStart w:id="158" w:name="_Toc13861"/>
      <w:bookmarkStart w:id="159" w:name="_Toc536685050"/>
      <w:bookmarkStart w:id="160" w:name="_Toc220710802"/>
      <w:r>
        <w:rPr>
          <w:rFonts w:ascii="Times New Roman" w:hAnsi="Times New Roman"/>
        </w:rPr>
        <w:t>3.3.4</w:t>
      </w:r>
      <w:r>
        <w:rPr>
          <w:rFonts w:ascii="Times New Roman" w:hAnsi="Times New Roman"/>
        </w:rPr>
        <w:tab/>
      </w:r>
      <w:r>
        <w:rPr>
          <w:rFonts w:ascii="Times New Roman" w:hAnsi="Times New Roman"/>
        </w:rPr>
        <w:t>Hydrology and Drainage</w:t>
      </w:r>
      <w:bookmarkEnd w:id="156"/>
      <w:bookmarkEnd w:id="157"/>
      <w:bookmarkEnd w:id="158"/>
      <w:bookmarkEnd w:id="159"/>
      <w:bookmarkEnd w:id="160"/>
      <w:r>
        <w:rPr>
          <w:rFonts w:ascii="Times New Roman" w:hAnsi="Times New Roman"/>
        </w:rPr>
        <w:t xml:space="preserve"> </w:t>
      </w:r>
    </w:p>
    <w:p w14:paraId="175F82C0">
      <w:pPr>
        <w:spacing w:line="240" w:lineRule="auto"/>
        <w:jc w:val="both"/>
        <w:rPr>
          <w:rFonts w:ascii="Times New Roman" w:hAnsi="Times New Roman"/>
          <w:szCs w:val="24"/>
        </w:rPr>
      </w:pPr>
      <w:r>
        <w:rPr>
          <w:rFonts w:ascii="Times New Roman" w:hAnsi="Times New Roman"/>
          <w:szCs w:val="24"/>
        </w:rPr>
        <w:t>The Indian Ocean is the largest water mass in the area and influences the general surface drainage pattern with all land sloping towards the ocean hence all the surface run-off is expected to drain to the sea through the natural drainage systems. However, due to the dense human settlements and activities of the natural drainage systems have been interfered with resulting in occasional flooding. The drainage of the coastal zone generally adjusts to the original slope towards the east that is typical of the general tilt of the Eastern African margin that has been altered by human activities.</w:t>
      </w:r>
    </w:p>
    <w:p w14:paraId="4627AE0F">
      <w:pPr>
        <w:spacing w:line="240" w:lineRule="auto"/>
        <w:jc w:val="both"/>
        <w:rPr>
          <w:rFonts w:ascii="Times New Roman" w:hAnsi="Times New Roman"/>
          <w:szCs w:val="24"/>
        </w:rPr>
      </w:pPr>
      <w:r>
        <w:rPr>
          <w:rFonts w:ascii="Times New Roman" w:hAnsi="Times New Roman"/>
          <w:szCs w:val="24"/>
        </w:rPr>
        <w:t xml:space="preserve">Due to the rugged topographic nature upstream and the relatively high soil porosity, drainage in the higher elevations is efficient with no possibility of flooding during rains. However, due to dense settlements, natural drainage systems and channels have been destroyed or blocked by human settlements, roadside economic activities and waste materials. </w:t>
      </w:r>
    </w:p>
    <w:p w14:paraId="7B4D3E2A">
      <w:pPr>
        <w:spacing w:line="240" w:lineRule="auto"/>
        <w:jc w:val="both"/>
        <w:rPr>
          <w:rFonts w:ascii="Times New Roman" w:hAnsi="Times New Roman"/>
          <w:szCs w:val="24"/>
        </w:rPr>
      </w:pPr>
      <w:r>
        <w:rPr>
          <w:rFonts w:ascii="Times New Roman" w:hAnsi="Times New Roman"/>
          <w:szCs w:val="24"/>
        </w:rPr>
        <w:t>Kilifi has a hydrological system primarily shaped by sandy soils, which allow for high infiltration and fast drainage, minimizing surface runoff. Water moves swiftly through the sandy layers, resulting in low water retention and a greater dependence on groundwater sources. These hydrological characteristics are representative of the proposed project site.</w:t>
      </w:r>
    </w:p>
    <w:p w14:paraId="5D56C924">
      <w:pPr>
        <w:pStyle w:val="3"/>
        <w:spacing w:line="240" w:lineRule="auto"/>
        <w:rPr>
          <w:rFonts w:ascii="Times New Roman" w:hAnsi="Times New Roman" w:cs="Times New Roman"/>
          <w:sz w:val="24"/>
          <w:szCs w:val="24"/>
        </w:rPr>
      </w:pPr>
      <w:bookmarkStart w:id="161" w:name="_Toc536685064"/>
      <w:bookmarkStart w:id="162" w:name="_Toc24115"/>
      <w:bookmarkStart w:id="163" w:name="_Toc220710803"/>
      <w:bookmarkStart w:id="164" w:name="_Toc20701"/>
      <w:bookmarkStart w:id="165" w:name="_Toc19890"/>
      <w:r>
        <w:rPr>
          <w:rFonts w:ascii="Times New Roman" w:hAnsi="Times New Roman" w:cs="Times New Roman"/>
          <w:sz w:val="24"/>
          <w:szCs w:val="24"/>
        </w:rPr>
        <w:t>3.4</w:t>
      </w:r>
      <w:r>
        <w:rPr>
          <w:rFonts w:ascii="Times New Roman" w:hAnsi="Times New Roman" w:cs="Times New Roman"/>
          <w:sz w:val="24"/>
          <w:szCs w:val="24"/>
        </w:rPr>
        <w:tab/>
      </w:r>
      <w:r>
        <w:rPr>
          <w:rFonts w:ascii="Times New Roman" w:hAnsi="Times New Roman" w:cs="Times New Roman"/>
          <w:sz w:val="24"/>
          <w:szCs w:val="24"/>
        </w:rPr>
        <w:t>HOUSEHOLD SOCIO-ECONOMIC SURVEY</w:t>
      </w:r>
      <w:bookmarkEnd w:id="161"/>
      <w:bookmarkEnd w:id="162"/>
      <w:bookmarkEnd w:id="163"/>
      <w:bookmarkEnd w:id="164"/>
      <w:bookmarkEnd w:id="165"/>
    </w:p>
    <w:p w14:paraId="656F5BE4">
      <w:pPr>
        <w:spacing w:line="240" w:lineRule="auto"/>
        <w:jc w:val="both"/>
        <w:rPr>
          <w:rFonts w:ascii="Times New Roman" w:hAnsi="Times New Roman"/>
          <w:szCs w:val="24"/>
        </w:rPr>
      </w:pPr>
      <w:r>
        <w:rPr>
          <w:rFonts w:ascii="Times New Roman" w:hAnsi="Times New Roman"/>
          <w:szCs w:val="24"/>
        </w:rPr>
        <w:t xml:space="preserve">The socio-economic situation of the area was captured based on findings of a stakeholders' survey carried out using a structured questionnaire. A sample group of approximately 50 households were selected through random sampling and interviewed for the purposes of the analysis. </w:t>
      </w:r>
    </w:p>
    <w:p w14:paraId="7C2536A8">
      <w:pPr>
        <w:pStyle w:val="4"/>
        <w:numPr>
          <w:ilvl w:val="2"/>
          <w:numId w:val="25"/>
        </w:numPr>
        <w:shd w:val="clear" w:color="auto" w:fill="auto"/>
        <w:spacing w:line="240" w:lineRule="auto"/>
        <w:rPr>
          <w:rFonts w:ascii="Times New Roman" w:hAnsi="Times New Roman"/>
          <w:b/>
          <w:bCs/>
        </w:rPr>
      </w:pPr>
      <w:bookmarkStart w:id="166" w:name="_Toc31833"/>
      <w:bookmarkStart w:id="167" w:name="_Toc19975"/>
      <w:bookmarkStart w:id="168" w:name="_Toc220710804"/>
      <w:bookmarkStart w:id="169" w:name="_Toc15581"/>
      <w:bookmarkStart w:id="170" w:name="_Toc536685065"/>
      <w:r>
        <w:rPr>
          <w:rFonts w:ascii="Times New Roman" w:hAnsi="Times New Roman"/>
          <w:b/>
          <w:bCs/>
        </w:rPr>
        <w:t>Population dynamics and household characteristics</w:t>
      </w:r>
      <w:bookmarkEnd w:id="166"/>
      <w:bookmarkEnd w:id="167"/>
      <w:bookmarkEnd w:id="168"/>
      <w:bookmarkEnd w:id="169"/>
      <w:bookmarkEnd w:id="170"/>
    </w:p>
    <w:p w14:paraId="3AAEBC66">
      <w:pPr>
        <w:spacing w:line="240" w:lineRule="auto"/>
        <w:jc w:val="both"/>
        <w:rPr>
          <w:rFonts w:ascii="Times New Roman" w:hAnsi="Times New Roman"/>
          <w:szCs w:val="24"/>
        </w:rPr>
      </w:pPr>
      <w:r>
        <w:rPr>
          <w:rFonts w:ascii="Times New Roman" w:hAnsi="Times New Roman"/>
          <w:szCs w:val="24"/>
        </w:rPr>
        <w:t>The general trend shows that most of the people fall in the 19-35 and 6-18 age groups, showing that the area is predominantly made up of young families. Figure 11 shows the population age brackets.</w:t>
      </w:r>
    </w:p>
    <w:p w14:paraId="5C7E6826">
      <w:pPr>
        <w:spacing w:after="0" w:line="240" w:lineRule="auto"/>
        <w:rPr>
          <w:rFonts w:ascii="Times New Roman" w:hAnsi="Times New Roman"/>
          <w:szCs w:val="24"/>
        </w:rPr>
      </w:pPr>
      <w:r>
        <w:rPr>
          <w:rFonts w:ascii="Times New Roman" w:hAnsi="Times New Roman"/>
          <w:szCs w:val="24"/>
          <w:lang w:val="en-US"/>
        </w:rPr>
        <w:drawing>
          <wp:inline distT="0" distB="0" distL="114300" distR="114300">
            <wp:extent cx="4286250" cy="3448050"/>
            <wp:effectExtent l="4445" t="4445" r="14605" b="14605"/>
            <wp:docPr id="104" name="Chart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6E6480">
      <w:pPr>
        <w:pStyle w:val="10"/>
        <w:spacing w:after="0"/>
        <w:rPr>
          <w:rFonts w:ascii="Times New Roman" w:hAnsi="Times New Roman"/>
          <w:b/>
          <w:bCs/>
          <w:i w:val="0"/>
          <w:color w:val="auto"/>
        </w:rPr>
      </w:pPr>
      <w:r>
        <w:rPr>
          <w:rFonts w:ascii="Times New Roman" w:hAnsi="Times New Roman"/>
          <w:b/>
          <w:bCs/>
          <w:color w:val="auto"/>
        </w:rPr>
        <w:t xml:space="preserve">Figure </w:t>
      </w:r>
      <w:r>
        <w:rPr>
          <w:rFonts w:ascii="Times New Roman" w:hAnsi="Times New Roman"/>
          <w:b/>
          <w:bCs/>
          <w:color w:val="auto"/>
        </w:rPr>
        <w:fldChar w:fldCharType="begin"/>
      </w:r>
      <w:r>
        <w:rPr>
          <w:rFonts w:ascii="Times New Roman" w:hAnsi="Times New Roman"/>
          <w:b/>
          <w:bCs/>
          <w:color w:val="auto"/>
        </w:rPr>
        <w:instrText xml:space="preserve"> SEQ Figure \* ARABIC </w:instrText>
      </w:r>
      <w:r>
        <w:rPr>
          <w:rFonts w:ascii="Times New Roman" w:hAnsi="Times New Roman"/>
          <w:b/>
          <w:bCs/>
          <w:color w:val="auto"/>
        </w:rPr>
        <w:fldChar w:fldCharType="separate"/>
      </w:r>
      <w:r>
        <w:rPr>
          <w:rFonts w:ascii="Times New Roman" w:hAnsi="Times New Roman"/>
          <w:b/>
          <w:bCs/>
          <w:color w:val="auto"/>
        </w:rPr>
        <w:t>7</w:t>
      </w:r>
      <w:r>
        <w:rPr>
          <w:rFonts w:ascii="Times New Roman" w:hAnsi="Times New Roman"/>
          <w:b/>
          <w:bCs/>
          <w:color w:val="auto"/>
        </w:rPr>
        <w:fldChar w:fldCharType="end"/>
      </w:r>
      <w:bookmarkStart w:id="171" w:name="_Toc26078"/>
      <w:bookmarkStart w:id="172" w:name="_Toc16381"/>
      <w:r>
        <w:rPr>
          <w:rFonts w:ascii="Times New Roman" w:hAnsi="Times New Roman"/>
          <w:b/>
          <w:bCs/>
          <w:color w:val="auto"/>
        </w:rPr>
        <w:t xml:space="preserve"> : Age Distribution of the Population</w:t>
      </w:r>
      <w:bookmarkEnd w:id="171"/>
      <w:bookmarkEnd w:id="172"/>
    </w:p>
    <w:p w14:paraId="3E127584">
      <w:pPr>
        <w:spacing w:line="240" w:lineRule="auto"/>
        <w:jc w:val="both"/>
        <w:rPr>
          <w:rFonts w:ascii="Times New Roman" w:hAnsi="Times New Roman"/>
          <w:szCs w:val="24"/>
        </w:rPr>
      </w:pPr>
      <w:r>
        <w:rPr>
          <w:rFonts w:ascii="Times New Roman" w:hAnsi="Times New Roman"/>
          <w:szCs w:val="24"/>
        </w:rPr>
        <w:t>Literacy levels were as follows: - Primary level 44%, Secondary level 24%, college /university 15% and no education at all 17%. Therefore, the areas have average literacy levels, which is common in peri-urban settings.</w:t>
      </w:r>
    </w:p>
    <w:p w14:paraId="65331BE6">
      <w:pPr>
        <w:spacing w:after="0" w:line="240" w:lineRule="auto"/>
        <w:rPr>
          <w:rFonts w:ascii="Times New Roman" w:hAnsi="Times New Roman"/>
          <w:szCs w:val="24"/>
        </w:rPr>
      </w:pPr>
      <w:r>
        <w:rPr>
          <w:rFonts w:ascii="Times New Roman" w:hAnsi="Times New Roman"/>
          <w:szCs w:val="24"/>
          <w:lang w:val="en-US"/>
        </w:rPr>
        <w:drawing>
          <wp:inline distT="0" distB="0" distL="114300" distR="114300">
            <wp:extent cx="4114800" cy="3524250"/>
            <wp:effectExtent l="4445" t="4445" r="14605" b="14605"/>
            <wp:docPr id="93" name="Chart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C22350">
      <w:pPr>
        <w:pStyle w:val="10"/>
        <w:rPr>
          <w:rFonts w:ascii="Times New Roman" w:hAnsi="Times New Roman"/>
          <w:i w:val="0"/>
          <w:color w:val="auto"/>
        </w:rPr>
      </w:pPr>
      <w:r>
        <w:rPr>
          <w:rFonts w:ascii="Times New Roman" w:hAnsi="Times New Roman"/>
          <w:b/>
          <w:bCs/>
          <w:i w:val="0"/>
          <w:iCs w:val="0"/>
          <w:color w:val="auto"/>
        </w:rPr>
        <w:t>Figure 12: Household Literacy Level</w:t>
      </w:r>
    </w:p>
    <w:p w14:paraId="56D1AF52">
      <w:pPr>
        <w:spacing w:line="240" w:lineRule="auto"/>
        <w:rPr>
          <w:rFonts w:ascii="Times New Roman" w:hAnsi="Times New Roman"/>
          <w:szCs w:val="24"/>
        </w:rPr>
      </w:pPr>
      <w:r>
        <w:rPr>
          <w:rFonts w:ascii="Times New Roman" w:hAnsi="Times New Roman"/>
          <w:szCs w:val="24"/>
        </w:rPr>
        <w:t>The surveyed population is predominantly Christian with only 22% of the population being Muslim.</w:t>
      </w:r>
    </w:p>
    <w:p w14:paraId="453FAEFC">
      <w:pPr>
        <w:keepNext/>
        <w:spacing w:line="240" w:lineRule="auto"/>
        <w:rPr>
          <w:rFonts w:ascii="Times New Roman" w:hAnsi="Times New Roman"/>
          <w:szCs w:val="24"/>
        </w:rPr>
      </w:pPr>
      <w:r>
        <w:rPr>
          <w:rFonts w:ascii="Times New Roman" w:hAnsi="Times New Roman"/>
          <w:szCs w:val="24"/>
          <w:lang w:val="en-US"/>
        </w:rPr>
        <w:drawing>
          <wp:inline distT="0" distB="0" distL="114300" distR="114300">
            <wp:extent cx="3619500" cy="3219450"/>
            <wp:effectExtent l="4445" t="4445" r="14605" b="14605"/>
            <wp:docPr id="83" name="Chart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28DD5A">
      <w:pPr>
        <w:pStyle w:val="10"/>
        <w:rPr>
          <w:rFonts w:ascii="Times New Roman" w:hAnsi="Times New Roman"/>
          <w:i w:val="0"/>
          <w:color w:val="auto"/>
        </w:rPr>
      </w:pPr>
      <w:r>
        <w:rPr>
          <w:rFonts w:ascii="Times New Roman" w:hAnsi="Times New Roman"/>
          <w:color w:val="auto"/>
        </w:rPr>
        <w:t xml:space="preserve">Figure </w:t>
      </w:r>
      <w:r>
        <w:rPr>
          <w:rFonts w:ascii="Times New Roman" w:hAnsi="Times New Roman"/>
          <w:i w:val="0"/>
          <w:iCs w:val="0"/>
          <w:color w:val="auto"/>
        </w:rPr>
        <w:fldChar w:fldCharType="begin"/>
      </w:r>
      <w:r>
        <w:rPr>
          <w:rFonts w:ascii="Times New Roman" w:hAnsi="Times New Roman"/>
          <w:color w:val="auto"/>
        </w:rPr>
        <w:instrText xml:space="preserve"> SEQ Figure \* ARABIC </w:instrText>
      </w:r>
      <w:r>
        <w:rPr>
          <w:rFonts w:ascii="Times New Roman" w:hAnsi="Times New Roman"/>
          <w:i w:val="0"/>
          <w:iCs w:val="0"/>
          <w:color w:val="auto"/>
        </w:rPr>
        <w:fldChar w:fldCharType="separate"/>
      </w:r>
      <w:r>
        <w:rPr>
          <w:rFonts w:ascii="Times New Roman" w:hAnsi="Times New Roman"/>
          <w:color w:val="auto"/>
        </w:rPr>
        <w:t>8</w:t>
      </w:r>
      <w:r>
        <w:rPr>
          <w:rFonts w:ascii="Times New Roman" w:hAnsi="Times New Roman"/>
          <w:i w:val="0"/>
          <w:iCs w:val="0"/>
          <w:color w:val="auto"/>
        </w:rPr>
        <w:fldChar w:fldCharType="end"/>
      </w:r>
      <w:bookmarkStart w:id="173" w:name="_Toc14225"/>
      <w:bookmarkStart w:id="174" w:name="_Toc23711"/>
      <w:r>
        <w:rPr>
          <w:rFonts w:ascii="Times New Roman" w:hAnsi="Times New Roman"/>
          <w:color w:val="auto"/>
        </w:rPr>
        <w:t xml:space="preserve"> : Religion of the Population</w:t>
      </w:r>
      <w:bookmarkEnd w:id="173"/>
      <w:bookmarkEnd w:id="174"/>
    </w:p>
    <w:p w14:paraId="35C09D70">
      <w:pPr>
        <w:spacing w:line="240" w:lineRule="auto"/>
        <w:jc w:val="both"/>
        <w:rPr>
          <w:rFonts w:ascii="Times New Roman" w:hAnsi="Times New Roman"/>
          <w:szCs w:val="24"/>
        </w:rPr>
      </w:pPr>
      <w:r>
        <w:rPr>
          <w:rFonts w:ascii="Times New Roman" w:hAnsi="Times New Roman"/>
          <w:szCs w:val="24"/>
        </w:rPr>
        <w:t>Charcoal is the main source of energy used by the community. It is used by 47% of surveyed families. 38% of families use firewood and 11% use cooking gas. Only 4% use kerosene.</w:t>
      </w:r>
    </w:p>
    <w:p w14:paraId="3964A010">
      <w:pPr>
        <w:spacing w:line="240" w:lineRule="auto"/>
        <w:rPr>
          <w:rFonts w:ascii="Times New Roman" w:hAnsi="Times New Roman"/>
          <w:szCs w:val="24"/>
        </w:rPr>
      </w:pPr>
      <w:r>
        <w:rPr>
          <w:rFonts w:ascii="Times New Roman" w:hAnsi="Times New Roman"/>
          <w:szCs w:val="24"/>
          <w:lang w:val="en-US"/>
        </w:rPr>
        <w:drawing>
          <wp:inline distT="0" distB="0" distL="114300" distR="114300">
            <wp:extent cx="3486150" cy="2971800"/>
            <wp:effectExtent l="4445" t="4445" r="14605" b="14605"/>
            <wp:docPr id="68" name="Chart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5D5F80">
      <w:pPr>
        <w:pStyle w:val="10"/>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9</w:t>
      </w:r>
      <w:r>
        <w:rPr>
          <w:rFonts w:ascii="Times New Roman" w:hAnsi="Times New Roman"/>
          <w:color w:val="auto"/>
        </w:rPr>
        <w:fldChar w:fldCharType="end"/>
      </w:r>
      <w:bookmarkStart w:id="175" w:name="_Toc21520"/>
      <w:bookmarkStart w:id="176" w:name="_Toc5341"/>
      <w:r>
        <w:rPr>
          <w:rFonts w:ascii="Times New Roman" w:hAnsi="Times New Roman"/>
          <w:color w:val="auto"/>
        </w:rPr>
        <w:t xml:space="preserve"> : Sources of Energy</w:t>
      </w:r>
      <w:bookmarkEnd w:id="175"/>
      <w:bookmarkEnd w:id="176"/>
    </w:p>
    <w:p w14:paraId="6D259B99">
      <w:pPr>
        <w:spacing w:line="240" w:lineRule="auto"/>
        <w:jc w:val="both"/>
        <w:rPr>
          <w:rFonts w:ascii="Times New Roman" w:hAnsi="Times New Roman"/>
          <w:szCs w:val="24"/>
        </w:rPr>
      </w:pPr>
      <w:r>
        <w:rPr>
          <w:rFonts w:ascii="Times New Roman" w:hAnsi="Times New Roman"/>
          <w:szCs w:val="24"/>
        </w:rPr>
        <w:t xml:space="preserve">Majority of surveyed household heads rely on businesses to support their families. 50% ran businesses of one kind or another. 17% are formally employed and 21% rely on crop and animal farming. 5% are informally employed and of the remaining 6%, 5% rely on fishing and mining and 1% are unemployed. </w:t>
      </w:r>
    </w:p>
    <w:p w14:paraId="56CF1E36">
      <w:pPr>
        <w:spacing w:line="240" w:lineRule="auto"/>
        <w:rPr>
          <w:rFonts w:ascii="Times New Roman" w:hAnsi="Times New Roman"/>
          <w:szCs w:val="24"/>
        </w:rPr>
      </w:pPr>
      <w:r>
        <w:rPr>
          <w:rFonts w:ascii="Times New Roman" w:hAnsi="Times New Roman"/>
          <w:szCs w:val="24"/>
          <w:lang w:val="en-US"/>
        </w:rPr>
        <w:drawing>
          <wp:inline distT="0" distB="0" distL="114300" distR="114300">
            <wp:extent cx="5410200" cy="2781300"/>
            <wp:effectExtent l="4445" t="4445" r="14605" b="14605"/>
            <wp:docPr id="86" name="Chart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C6F188">
      <w:pPr>
        <w:pStyle w:val="10"/>
        <w:rPr>
          <w:rFonts w:ascii="Times New Roman" w:hAnsi="Times New Roman"/>
          <w:color w:val="auto"/>
        </w:rPr>
      </w:pPr>
      <w:bookmarkStart w:id="177" w:name="_Toc536685080"/>
      <w:r>
        <w:rPr>
          <w:rFonts w:ascii="Times New Roman" w:hAnsi="Times New Roman"/>
          <w:color w:val="auto"/>
        </w:rPr>
        <w:t>Figure 13: Household socio-economic activities</w:t>
      </w:r>
      <w:bookmarkEnd w:id="177"/>
    </w:p>
    <w:p w14:paraId="052CC82D">
      <w:pPr>
        <w:spacing w:line="240" w:lineRule="auto"/>
        <w:rPr>
          <w:rFonts w:ascii="Times New Roman" w:hAnsi="Times New Roman"/>
          <w:szCs w:val="24"/>
        </w:rPr>
      </w:pPr>
      <w:r>
        <w:rPr>
          <w:rFonts w:ascii="Times New Roman" w:hAnsi="Times New Roman"/>
          <w:szCs w:val="24"/>
        </w:rPr>
        <w:t>Majority of business owners run small scale businesses. This accounts for 44% of surveyed respondents. 25% own shops and 18% run groceries. Only 3% run Mpesa shops. The remaining 10% are motorcycle taxi (bodaboda) operators.</w:t>
      </w:r>
    </w:p>
    <w:p w14:paraId="22080AB1">
      <w:pPr>
        <w:spacing w:line="240" w:lineRule="auto"/>
        <w:rPr>
          <w:rFonts w:ascii="Times New Roman" w:hAnsi="Times New Roman"/>
          <w:szCs w:val="24"/>
        </w:rPr>
      </w:pPr>
      <w:r>
        <w:rPr>
          <w:rFonts w:ascii="Times New Roman" w:hAnsi="Times New Roman"/>
          <w:szCs w:val="24"/>
          <w:lang w:val="en-US"/>
        </w:rPr>
        <w:drawing>
          <wp:inline distT="0" distB="0" distL="114300" distR="114300">
            <wp:extent cx="3943350" cy="2781300"/>
            <wp:effectExtent l="4445" t="4445" r="14605" b="14605"/>
            <wp:docPr id="79" name="Chart 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8EDF73">
      <w:pPr>
        <w:pStyle w:val="10"/>
        <w:rPr>
          <w:rFonts w:ascii="Times New Roman" w:hAnsi="Times New Roman"/>
          <w:i w:val="0"/>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10</w:t>
      </w:r>
      <w:r>
        <w:rPr>
          <w:rFonts w:ascii="Times New Roman" w:hAnsi="Times New Roman"/>
          <w:color w:val="auto"/>
        </w:rPr>
        <w:fldChar w:fldCharType="end"/>
      </w:r>
      <w:bookmarkStart w:id="178" w:name="_Toc9127"/>
      <w:bookmarkStart w:id="179" w:name="_Toc10921"/>
      <w:r>
        <w:rPr>
          <w:rFonts w:ascii="Times New Roman" w:hAnsi="Times New Roman"/>
          <w:color w:val="auto"/>
        </w:rPr>
        <w:t>: Business Types in the Project Areas</w:t>
      </w:r>
      <w:bookmarkEnd w:id="178"/>
      <w:bookmarkEnd w:id="179"/>
    </w:p>
    <w:p w14:paraId="691F0CA0">
      <w:pPr>
        <w:spacing w:line="240" w:lineRule="auto"/>
        <w:jc w:val="both"/>
        <w:rPr>
          <w:rFonts w:ascii="Times New Roman" w:hAnsi="Times New Roman"/>
          <w:szCs w:val="24"/>
        </w:rPr>
      </w:pPr>
      <w:r>
        <w:rPr>
          <w:rFonts w:ascii="Times New Roman" w:hAnsi="Times New Roman"/>
          <w:szCs w:val="24"/>
        </w:rPr>
        <w:t>As most income earners operate small shops and small businesses, a significant portion of the surveyed population earns ksh 15000 or less per month. 21% earn between 15000 and 30000. 6% earn between 30000 and 50000 and only 3% earn more than 50000.</w:t>
      </w:r>
    </w:p>
    <w:p w14:paraId="67344BC3">
      <w:pPr>
        <w:spacing w:line="240" w:lineRule="auto"/>
        <w:rPr>
          <w:rFonts w:ascii="Times New Roman" w:hAnsi="Times New Roman"/>
          <w:szCs w:val="24"/>
        </w:rPr>
      </w:pPr>
      <w:r>
        <w:rPr>
          <w:rFonts w:ascii="Times New Roman" w:hAnsi="Times New Roman"/>
          <w:szCs w:val="24"/>
          <w:lang w:val="en-US"/>
        </w:rPr>
        <w:drawing>
          <wp:inline distT="0" distB="0" distL="114300" distR="114300">
            <wp:extent cx="4095750" cy="3467100"/>
            <wp:effectExtent l="5080" t="4445" r="13970" b="14605"/>
            <wp:docPr id="88" name="Chart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4B586C">
      <w:pPr>
        <w:pStyle w:val="10"/>
        <w:rPr>
          <w:rFonts w:ascii="Times New Roman" w:hAnsi="Times New Roman"/>
          <w:i w:val="0"/>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11</w:t>
      </w:r>
      <w:r>
        <w:rPr>
          <w:rFonts w:ascii="Times New Roman" w:hAnsi="Times New Roman"/>
          <w:color w:val="auto"/>
        </w:rPr>
        <w:fldChar w:fldCharType="end"/>
      </w:r>
      <w:bookmarkStart w:id="180" w:name="_Toc168"/>
      <w:bookmarkStart w:id="181" w:name="_Toc16330"/>
      <w:r>
        <w:rPr>
          <w:rFonts w:ascii="Times New Roman" w:hAnsi="Times New Roman"/>
          <w:color w:val="auto"/>
        </w:rPr>
        <w:t>: Household income per month</w:t>
      </w:r>
      <w:bookmarkEnd w:id="180"/>
      <w:bookmarkEnd w:id="181"/>
    </w:p>
    <w:p w14:paraId="518C063E">
      <w:pPr>
        <w:pStyle w:val="4"/>
        <w:numPr>
          <w:ilvl w:val="1"/>
          <w:numId w:val="25"/>
        </w:numPr>
        <w:shd w:val="clear" w:color="auto" w:fill="auto"/>
        <w:spacing w:line="240" w:lineRule="auto"/>
        <w:rPr>
          <w:rFonts w:ascii="Times New Roman" w:hAnsi="Times New Roman"/>
          <w:b/>
          <w:bCs/>
        </w:rPr>
      </w:pPr>
      <w:bookmarkStart w:id="182" w:name="_Toc27333"/>
      <w:bookmarkStart w:id="183" w:name="_Toc24660"/>
      <w:bookmarkStart w:id="184" w:name="_Toc4735"/>
      <w:bookmarkStart w:id="185" w:name="_Toc536685066"/>
      <w:bookmarkStart w:id="186" w:name="_Toc220710805"/>
      <w:r>
        <w:rPr>
          <w:rFonts w:ascii="Times New Roman" w:hAnsi="Times New Roman"/>
          <w:b/>
          <w:bCs/>
        </w:rPr>
        <w:t>Water Supply</w:t>
      </w:r>
      <w:bookmarkEnd w:id="182"/>
      <w:bookmarkEnd w:id="183"/>
      <w:bookmarkEnd w:id="184"/>
      <w:bookmarkEnd w:id="185"/>
      <w:bookmarkEnd w:id="186"/>
    </w:p>
    <w:p w14:paraId="03D85EA8">
      <w:pPr>
        <w:spacing w:line="240" w:lineRule="auto"/>
        <w:rPr>
          <w:rFonts w:ascii="Times New Roman" w:hAnsi="Times New Roman"/>
          <w:szCs w:val="24"/>
        </w:rPr>
      </w:pPr>
      <w:r>
        <w:rPr>
          <w:rFonts w:ascii="Times New Roman" w:hAnsi="Times New Roman"/>
          <w:szCs w:val="24"/>
        </w:rPr>
        <w:t>The project areas majorly receive piped water either through public taps or private provided by KIMAWASCO as shown below. These account for a combined total of 81% of access to water. Only 19% of respondents use boreholes.</w:t>
      </w:r>
    </w:p>
    <w:p w14:paraId="1EB3F640">
      <w:pPr>
        <w:spacing w:line="240" w:lineRule="auto"/>
        <w:rPr>
          <w:rFonts w:ascii="Times New Roman" w:hAnsi="Times New Roman"/>
          <w:szCs w:val="24"/>
        </w:rPr>
      </w:pPr>
      <w:r>
        <w:rPr>
          <w:rFonts w:ascii="Times New Roman" w:hAnsi="Times New Roman"/>
          <w:szCs w:val="24"/>
        </w:rPr>
        <w:t xml:space="preserve">The expert did not identify boreholes or other water sources near the proposed ablution block sites. </w:t>
      </w:r>
    </w:p>
    <w:p w14:paraId="78FAB6F5">
      <w:pPr>
        <w:spacing w:line="240" w:lineRule="auto"/>
        <w:ind w:left="720"/>
        <w:rPr>
          <w:rFonts w:ascii="Times New Roman" w:hAnsi="Times New Roman"/>
          <w:szCs w:val="24"/>
        </w:rPr>
      </w:pPr>
      <w:r>
        <w:rPr>
          <w:rFonts w:ascii="Times New Roman" w:hAnsi="Times New Roman"/>
          <w:szCs w:val="24"/>
          <w:lang w:val="en-US"/>
        </w:rPr>
        <w:drawing>
          <wp:inline distT="0" distB="0" distL="114300" distR="114300">
            <wp:extent cx="3143250" cy="1771650"/>
            <wp:effectExtent l="5080" t="4445" r="13970" b="14605"/>
            <wp:docPr id="87" name="Chart 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49E0AC">
      <w:pPr>
        <w:pStyle w:val="10"/>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12</w:t>
      </w:r>
      <w:r>
        <w:rPr>
          <w:rFonts w:ascii="Times New Roman" w:hAnsi="Times New Roman"/>
          <w:color w:val="auto"/>
        </w:rPr>
        <w:fldChar w:fldCharType="end"/>
      </w:r>
      <w:bookmarkStart w:id="187" w:name="_Toc26681"/>
      <w:bookmarkStart w:id="188" w:name="_Toc29462"/>
      <w:r>
        <w:rPr>
          <w:rFonts w:ascii="Times New Roman" w:hAnsi="Times New Roman"/>
          <w:color w:val="auto"/>
        </w:rPr>
        <w:t>: Main Sources of Water for the Community</w:t>
      </w:r>
      <w:bookmarkEnd w:id="187"/>
      <w:bookmarkEnd w:id="188"/>
    </w:p>
    <w:p w14:paraId="3E3CF024">
      <w:pPr>
        <w:spacing w:line="240" w:lineRule="auto"/>
        <w:rPr>
          <w:rFonts w:ascii="Times New Roman" w:hAnsi="Times New Roman"/>
          <w:szCs w:val="24"/>
        </w:rPr>
      </w:pPr>
      <w:r>
        <w:rPr>
          <w:rFonts w:ascii="Times New Roman" w:hAnsi="Times New Roman"/>
          <w:szCs w:val="24"/>
        </w:rPr>
        <w:t xml:space="preserve">85% of the surveyed population pay for water. </w:t>
      </w:r>
    </w:p>
    <w:p w14:paraId="42D55DC2">
      <w:pPr>
        <w:pStyle w:val="10"/>
        <w:ind w:left="720"/>
        <w:rPr>
          <w:rFonts w:ascii="Times New Roman" w:hAnsi="Times New Roman"/>
          <w:color w:val="auto"/>
        </w:rPr>
      </w:pPr>
      <w:r>
        <w:rPr>
          <w:rFonts w:ascii="Times New Roman" w:hAnsi="Times New Roman"/>
          <w:color w:val="auto"/>
          <w:lang w:val="en-US"/>
        </w:rPr>
        <w:drawing>
          <wp:inline distT="0" distB="0" distL="114300" distR="114300">
            <wp:extent cx="3238500" cy="1695450"/>
            <wp:effectExtent l="4445" t="4445" r="14605" b="14605"/>
            <wp:docPr id="78" name="Chart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189" w:name="_Toc536685084"/>
      <w:r>
        <w:rPr>
          <w:rFonts w:ascii="Times New Roman" w:hAnsi="Times New Roman"/>
          <w:color w:val="auto"/>
        </w:rPr>
        <w:t xml:space="preserve"> </w:t>
      </w:r>
    </w:p>
    <w:bookmarkEnd w:id="189"/>
    <w:p w14:paraId="0E7ABCA9">
      <w:pPr>
        <w:pStyle w:val="10"/>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13</w:t>
      </w:r>
      <w:r>
        <w:rPr>
          <w:rFonts w:ascii="Times New Roman" w:hAnsi="Times New Roman"/>
          <w:color w:val="auto"/>
        </w:rPr>
        <w:fldChar w:fldCharType="end"/>
      </w:r>
      <w:bookmarkStart w:id="190" w:name="_Toc24461"/>
      <w:bookmarkStart w:id="191" w:name="_Toc13228"/>
      <w:r>
        <w:rPr>
          <w:rFonts w:ascii="Times New Roman" w:hAnsi="Times New Roman"/>
          <w:color w:val="auto"/>
        </w:rPr>
        <w:t>: Percentage Population Paying for Water</w:t>
      </w:r>
      <w:bookmarkEnd w:id="190"/>
      <w:bookmarkEnd w:id="191"/>
    </w:p>
    <w:p w14:paraId="15A4696D">
      <w:pPr>
        <w:spacing w:line="240" w:lineRule="auto"/>
        <w:rPr>
          <w:rFonts w:ascii="Times New Roman" w:hAnsi="Times New Roman"/>
          <w:szCs w:val="24"/>
        </w:rPr>
      </w:pPr>
      <w:r>
        <w:rPr>
          <w:rFonts w:ascii="Times New Roman" w:hAnsi="Times New Roman"/>
          <w:szCs w:val="24"/>
        </w:rPr>
        <w:t>Payments for water ranged from kshs2 to kshs10. 52% pay KSh 5, 40% pay KSh 10, and 10% pay more than KSh 10. Only 1% pay KSh 2.</w:t>
      </w:r>
    </w:p>
    <w:p w14:paraId="5F6D3FC1">
      <w:pPr>
        <w:spacing w:line="240" w:lineRule="auto"/>
        <w:ind w:left="720"/>
        <w:rPr>
          <w:rFonts w:ascii="Times New Roman" w:hAnsi="Times New Roman"/>
          <w:szCs w:val="24"/>
        </w:rPr>
      </w:pPr>
      <w:r>
        <w:rPr>
          <w:rFonts w:ascii="Times New Roman" w:hAnsi="Times New Roman"/>
          <w:szCs w:val="24"/>
          <w:lang w:val="en-US"/>
        </w:rPr>
        <w:drawing>
          <wp:inline distT="0" distB="0" distL="114300" distR="114300">
            <wp:extent cx="4000500" cy="2000250"/>
            <wp:effectExtent l="5080" t="5080" r="13970" b="13970"/>
            <wp:docPr id="80" name="Chart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33C20D">
      <w:pPr>
        <w:pStyle w:val="10"/>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14</w:t>
      </w:r>
      <w:r>
        <w:rPr>
          <w:rFonts w:ascii="Times New Roman" w:hAnsi="Times New Roman"/>
          <w:color w:val="auto"/>
        </w:rPr>
        <w:fldChar w:fldCharType="end"/>
      </w:r>
      <w:bookmarkStart w:id="192" w:name="_Toc18743"/>
      <w:bookmarkStart w:id="193" w:name="_Toc12671"/>
      <w:r>
        <w:rPr>
          <w:rFonts w:ascii="Times New Roman" w:hAnsi="Times New Roman"/>
          <w:color w:val="auto"/>
        </w:rPr>
        <w:t>:  Amount paid per 20-litre jerrican</w:t>
      </w:r>
      <w:bookmarkEnd w:id="192"/>
      <w:bookmarkEnd w:id="193"/>
    </w:p>
    <w:p w14:paraId="45A85EFD">
      <w:pPr>
        <w:spacing w:line="240" w:lineRule="auto"/>
        <w:jc w:val="both"/>
        <w:rPr>
          <w:rFonts w:ascii="Times New Roman" w:hAnsi="Times New Roman"/>
          <w:szCs w:val="24"/>
        </w:rPr>
      </w:pPr>
      <w:r>
        <w:rPr>
          <w:rFonts w:ascii="Times New Roman" w:hAnsi="Times New Roman"/>
          <w:szCs w:val="24"/>
        </w:rPr>
        <w:t>The water quality is generally good with 64% of the respondents indicating that they had no problems with the water. Only 5% said that the water they had is poorly accessible due to rationing schedules.</w:t>
      </w:r>
    </w:p>
    <w:p w14:paraId="6750E9E6">
      <w:pPr>
        <w:spacing w:line="240" w:lineRule="auto"/>
        <w:ind w:left="720"/>
        <w:rPr>
          <w:rFonts w:ascii="Times New Roman" w:hAnsi="Times New Roman"/>
          <w:szCs w:val="24"/>
        </w:rPr>
      </w:pPr>
      <w:r>
        <w:rPr>
          <w:rFonts w:ascii="Times New Roman" w:hAnsi="Times New Roman"/>
          <w:szCs w:val="24"/>
          <w:lang w:val="en-US"/>
        </w:rPr>
        <w:drawing>
          <wp:inline distT="0" distB="0" distL="114300" distR="114300">
            <wp:extent cx="4229100" cy="2114550"/>
            <wp:effectExtent l="4445" t="4445" r="14605" b="14605"/>
            <wp:docPr id="91" name="Chart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29FC2A">
      <w:pPr>
        <w:pStyle w:val="10"/>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15</w:t>
      </w:r>
      <w:r>
        <w:rPr>
          <w:rFonts w:ascii="Times New Roman" w:hAnsi="Times New Roman"/>
          <w:color w:val="auto"/>
        </w:rPr>
        <w:fldChar w:fldCharType="end"/>
      </w:r>
      <w:bookmarkStart w:id="194" w:name="_Toc3612"/>
      <w:bookmarkStart w:id="195" w:name="_Toc17223"/>
      <w:r>
        <w:rPr>
          <w:rFonts w:ascii="Times New Roman" w:hAnsi="Times New Roman"/>
          <w:color w:val="auto"/>
        </w:rPr>
        <w:t>:   General Status of the Water Quality</w:t>
      </w:r>
      <w:bookmarkEnd w:id="194"/>
      <w:bookmarkEnd w:id="195"/>
    </w:p>
    <w:p w14:paraId="33BBA868">
      <w:pPr>
        <w:spacing w:line="240" w:lineRule="auto"/>
        <w:rPr>
          <w:rFonts w:ascii="Times New Roman" w:hAnsi="Times New Roman"/>
          <w:szCs w:val="24"/>
        </w:rPr>
      </w:pPr>
      <w:r>
        <w:rPr>
          <w:rFonts w:ascii="Times New Roman" w:hAnsi="Times New Roman"/>
          <w:szCs w:val="24"/>
        </w:rPr>
        <w:t>Majority of respondents fetch water daily. 20% indicated that they fetched water on alternate days of the week and only 5% once a week.</w:t>
      </w:r>
    </w:p>
    <w:p w14:paraId="41386CC2">
      <w:pPr>
        <w:spacing w:line="240" w:lineRule="auto"/>
        <w:ind w:left="720"/>
        <w:rPr>
          <w:rFonts w:ascii="Times New Roman" w:hAnsi="Times New Roman"/>
          <w:szCs w:val="24"/>
        </w:rPr>
      </w:pPr>
      <w:r>
        <w:rPr>
          <w:rFonts w:ascii="Times New Roman" w:hAnsi="Times New Roman"/>
          <w:szCs w:val="24"/>
          <w:lang w:val="en-US"/>
        </w:rPr>
        <w:drawing>
          <wp:inline distT="0" distB="0" distL="114300" distR="114300">
            <wp:extent cx="4019550" cy="1866900"/>
            <wp:effectExtent l="4445" t="5080" r="14605" b="13970"/>
            <wp:docPr id="76" name="Chart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B11330">
      <w:pPr>
        <w:pStyle w:val="10"/>
        <w:ind w:left="720"/>
        <w:rPr>
          <w:rFonts w:ascii="Times New Roman" w:hAnsi="Times New Roman"/>
          <w:i w:val="0"/>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16</w:t>
      </w:r>
      <w:r>
        <w:rPr>
          <w:rFonts w:ascii="Times New Roman" w:hAnsi="Times New Roman"/>
          <w:color w:val="auto"/>
        </w:rPr>
        <w:fldChar w:fldCharType="end"/>
      </w:r>
      <w:bookmarkStart w:id="196" w:name="_Toc25547"/>
      <w:bookmarkStart w:id="197" w:name="_Toc4123"/>
      <w:r>
        <w:rPr>
          <w:rFonts w:ascii="Times New Roman" w:hAnsi="Times New Roman"/>
          <w:color w:val="auto"/>
        </w:rPr>
        <w:t>:  Frequency of fetching water</w:t>
      </w:r>
      <w:bookmarkEnd w:id="196"/>
      <w:bookmarkEnd w:id="197"/>
    </w:p>
    <w:p w14:paraId="2039E192">
      <w:pPr>
        <w:pStyle w:val="4"/>
        <w:numPr>
          <w:ilvl w:val="1"/>
          <w:numId w:val="25"/>
        </w:numPr>
        <w:shd w:val="clear" w:color="auto" w:fill="auto"/>
        <w:spacing w:line="240" w:lineRule="auto"/>
        <w:rPr>
          <w:rFonts w:ascii="Times New Roman" w:hAnsi="Times New Roman"/>
        </w:rPr>
      </w:pPr>
      <w:bookmarkStart w:id="198" w:name="_Toc9515"/>
      <w:bookmarkStart w:id="199" w:name="_Toc536685067"/>
      <w:bookmarkStart w:id="200" w:name="_Toc13378"/>
      <w:bookmarkStart w:id="201" w:name="_Toc220710806"/>
      <w:bookmarkStart w:id="202" w:name="_Toc9033"/>
      <w:r>
        <w:rPr>
          <w:rFonts w:ascii="Times New Roman" w:hAnsi="Times New Roman"/>
        </w:rPr>
        <w:t>Sanitation</w:t>
      </w:r>
      <w:bookmarkEnd w:id="198"/>
      <w:bookmarkEnd w:id="199"/>
      <w:bookmarkEnd w:id="200"/>
      <w:bookmarkEnd w:id="201"/>
      <w:bookmarkEnd w:id="202"/>
    </w:p>
    <w:p w14:paraId="678F5C4D">
      <w:pPr>
        <w:spacing w:line="240" w:lineRule="auto"/>
        <w:jc w:val="both"/>
        <w:rPr>
          <w:rFonts w:ascii="Times New Roman" w:hAnsi="Times New Roman"/>
          <w:szCs w:val="24"/>
        </w:rPr>
      </w:pPr>
      <w:r>
        <w:rPr>
          <w:rFonts w:ascii="Times New Roman" w:hAnsi="Times New Roman"/>
          <w:szCs w:val="24"/>
        </w:rPr>
        <w:t>Disposal of household waste is an important measure of the extent of pollution in the study area. There is a dumpsite designated to receive solid waste but only 22% of respondents who said they have their waste collected by the county have it disposed at the dumpsite. 14% said they have no specific site for disposal and just dump their waste in the area. 46% burn their waste and 18% compost it. There is no recycling done in the area.</w:t>
      </w:r>
    </w:p>
    <w:p w14:paraId="01D4F402">
      <w:pPr>
        <w:spacing w:line="240" w:lineRule="auto"/>
        <w:rPr>
          <w:rFonts w:ascii="Times New Roman" w:hAnsi="Times New Roman"/>
          <w:szCs w:val="24"/>
        </w:rPr>
      </w:pPr>
      <w:r>
        <w:rPr>
          <w:rFonts w:ascii="Times New Roman" w:hAnsi="Times New Roman"/>
          <w:szCs w:val="24"/>
          <w:lang w:val="en-US"/>
        </w:rPr>
        <w:drawing>
          <wp:inline distT="0" distB="0" distL="114300" distR="114300">
            <wp:extent cx="4838700" cy="1428750"/>
            <wp:effectExtent l="5080" t="4445" r="13970" b="14605"/>
            <wp:docPr id="67" name="Chart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A191C5">
      <w:pPr>
        <w:pStyle w:val="10"/>
        <w:rPr>
          <w:rFonts w:ascii="Times New Roman" w:hAnsi="Times New Roman"/>
          <w:i w:val="0"/>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17</w:t>
      </w:r>
      <w:r>
        <w:rPr>
          <w:rFonts w:ascii="Times New Roman" w:hAnsi="Times New Roman"/>
          <w:color w:val="auto"/>
        </w:rPr>
        <w:fldChar w:fldCharType="end"/>
      </w:r>
      <w:bookmarkStart w:id="203" w:name="_Toc5948"/>
      <w:bookmarkStart w:id="204" w:name="_Toc28236"/>
      <w:r>
        <w:rPr>
          <w:rFonts w:ascii="Times New Roman" w:hAnsi="Times New Roman"/>
          <w:color w:val="auto"/>
        </w:rPr>
        <w:t xml:space="preserve">  :   Common Waste Disposal Methods</w:t>
      </w:r>
      <w:bookmarkEnd w:id="203"/>
      <w:bookmarkEnd w:id="204"/>
    </w:p>
    <w:p w14:paraId="0E621062">
      <w:pPr>
        <w:spacing w:line="240" w:lineRule="auto"/>
        <w:rPr>
          <w:rFonts w:ascii="Times New Roman" w:hAnsi="Times New Roman"/>
          <w:szCs w:val="24"/>
        </w:rPr>
      </w:pPr>
      <w:r>
        <w:rPr>
          <w:rFonts w:ascii="Times New Roman" w:hAnsi="Times New Roman"/>
          <w:szCs w:val="24"/>
        </w:rPr>
        <w:t xml:space="preserve">91% of the households interviewed have access to a toilet, while the rest lack the facility. </w:t>
      </w:r>
    </w:p>
    <w:p w14:paraId="631B339A">
      <w:pPr>
        <w:spacing w:line="240" w:lineRule="auto"/>
        <w:rPr>
          <w:rFonts w:ascii="Times New Roman" w:hAnsi="Times New Roman"/>
          <w:szCs w:val="24"/>
        </w:rPr>
      </w:pPr>
      <w:r>
        <w:rPr>
          <w:rFonts w:ascii="Times New Roman" w:hAnsi="Times New Roman"/>
          <w:szCs w:val="24"/>
          <w:lang w:val="en-US"/>
        </w:rPr>
        <w:drawing>
          <wp:inline distT="0" distB="0" distL="114300" distR="114300">
            <wp:extent cx="4381500" cy="1619250"/>
            <wp:effectExtent l="4445" t="4445" r="14605" b="14605"/>
            <wp:docPr id="66" name="Chart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5977709">
      <w:pPr>
        <w:pStyle w:val="10"/>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18</w:t>
      </w:r>
      <w:r>
        <w:rPr>
          <w:rFonts w:ascii="Times New Roman" w:hAnsi="Times New Roman"/>
          <w:color w:val="auto"/>
        </w:rPr>
        <w:fldChar w:fldCharType="end"/>
      </w:r>
      <w:bookmarkStart w:id="205" w:name="_Toc25458"/>
      <w:bookmarkStart w:id="206" w:name="_Toc3335"/>
      <w:r>
        <w:rPr>
          <w:rFonts w:ascii="Times New Roman" w:hAnsi="Times New Roman"/>
          <w:color w:val="auto"/>
        </w:rPr>
        <w:t>:Respondents Who Have Toilets in Their Compound</w:t>
      </w:r>
      <w:bookmarkEnd w:id="205"/>
      <w:bookmarkEnd w:id="206"/>
    </w:p>
    <w:p w14:paraId="3EBE50D0">
      <w:pPr>
        <w:spacing w:line="240" w:lineRule="auto"/>
        <w:jc w:val="both"/>
        <w:rPr>
          <w:rFonts w:ascii="Times New Roman" w:hAnsi="Times New Roman"/>
          <w:szCs w:val="24"/>
        </w:rPr>
      </w:pPr>
      <w:r>
        <w:rPr>
          <w:rFonts w:ascii="Times New Roman" w:hAnsi="Times New Roman"/>
          <w:szCs w:val="24"/>
        </w:rPr>
        <w:t xml:space="preserve">The most common type of toilet in use is a pit latrine. 67% of surveyed respondents said they used pit latrines. Flush toilets with septic tanks accounted for 30% of respondents and only 3% said they used flush toilets connected to the sewer line. </w:t>
      </w:r>
    </w:p>
    <w:p w14:paraId="262F0C69">
      <w:pPr>
        <w:spacing w:line="240" w:lineRule="auto"/>
        <w:rPr>
          <w:rFonts w:ascii="Times New Roman" w:hAnsi="Times New Roman"/>
          <w:szCs w:val="24"/>
        </w:rPr>
      </w:pPr>
      <w:r>
        <w:rPr>
          <w:rFonts w:ascii="Times New Roman" w:hAnsi="Times New Roman"/>
          <w:szCs w:val="24"/>
          <w:lang w:val="en-US"/>
        </w:rPr>
        <w:drawing>
          <wp:inline distT="0" distB="0" distL="114300" distR="114300">
            <wp:extent cx="4914900" cy="2457450"/>
            <wp:effectExtent l="4445" t="4445" r="14605" b="14605"/>
            <wp:docPr id="77" name="Chart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5FBF19B">
      <w:pPr>
        <w:pStyle w:val="10"/>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19</w:t>
      </w:r>
      <w:r>
        <w:rPr>
          <w:rFonts w:ascii="Times New Roman" w:hAnsi="Times New Roman"/>
          <w:color w:val="auto"/>
        </w:rPr>
        <w:fldChar w:fldCharType="end"/>
      </w:r>
      <w:bookmarkStart w:id="207" w:name="_Toc17895"/>
      <w:bookmarkStart w:id="208" w:name="_Toc31865"/>
      <w:r>
        <w:rPr>
          <w:rFonts w:ascii="Times New Roman" w:hAnsi="Times New Roman"/>
          <w:color w:val="auto"/>
        </w:rPr>
        <w:t xml:space="preserve"> :Types of Toilets Respondents Have in Their Compound</w:t>
      </w:r>
      <w:bookmarkEnd w:id="207"/>
      <w:bookmarkEnd w:id="208"/>
    </w:p>
    <w:p w14:paraId="5D70C2DD">
      <w:pPr>
        <w:pStyle w:val="4"/>
        <w:numPr>
          <w:ilvl w:val="1"/>
          <w:numId w:val="25"/>
        </w:numPr>
        <w:shd w:val="clear" w:color="auto" w:fill="auto"/>
        <w:spacing w:line="240" w:lineRule="auto"/>
        <w:rPr>
          <w:rFonts w:ascii="Times New Roman" w:hAnsi="Times New Roman"/>
          <w:b/>
          <w:bCs/>
        </w:rPr>
      </w:pPr>
      <w:bookmarkStart w:id="209" w:name="_Toc192253565"/>
      <w:bookmarkEnd w:id="209"/>
      <w:bookmarkStart w:id="210" w:name="_Toc192244240"/>
      <w:bookmarkEnd w:id="210"/>
      <w:bookmarkStart w:id="211" w:name="_Toc192243495"/>
      <w:bookmarkEnd w:id="211"/>
      <w:bookmarkStart w:id="212" w:name="_Toc192242512"/>
      <w:bookmarkEnd w:id="212"/>
      <w:bookmarkStart w:id="213" w:name="_Toc11066"/>
      <w:bookmarkStart w:id="214" w:name="_Toc14625"/>
      <w:bookmarkStart w:id="215" w:name="_Toc2505"/>
      <w:bookmarkStart w:id="216" w:name="_Toc536685068"/>
      <w:bookmarkStart w:id="217" w:name="_Toc220710807"/>
      <w:r>
        <w:rPr>
          <w:rFonts w:ascii="Times New Roman" w:hAnsi="Times New Roman"/>
          <w:b/>
          <w:bCs/>
        </w:rPr>
        <w:t>Environmental Situation</w:t>
      </w:r>
      <w:bookmarkEnd w:id="213"/>
      <w:bookmarkEnd w:id="214"/>
      <w:bookmarkEnd w:id="215"/>
      <w:bookmarkEnd w:id="216"/>
      <w:bookmarkEnd w:id="217"/>
    </w:p>
    <w:p w14:paraId="49F0865B">
      <w:pPr>
        <w:spacing w:line="240" w:lineRule="auto"/>
        <w:jc w:val="both"/>
        <w:rPr>
          <w:rFonts w:ascii="Times New Roman" w:hAnsi="Times New Roman"/>
          <w:szCs w:val="24"/>
        </w:rPr>
      </w:pPr>
      <w:r>
        <w:rPr>
          <w:rFonts w:ascii="Times New Roman" w:hAnsi="Times New Roman"/>
          <w:szCs w:val="24"/>
        </w:rPr>
        <w:t>Water shortages in the area were the biggest area of concern amongst the surveyed respondents. Mosquitoes and malaria were also of major concern. Other areas of concern included drought, deforestation, overgrazing and poor sanitation. The extinction of endangered species, invasive species and poor drainage only concerned 6% of surveyed respondents.</w:t>
      </w:r>
    </w:p>
    <w:p w14:paraId="2B5F2461">
      <w:pPr>
        <w:spacing w:line="240" w:lineRule="auto"/>
        <w:rPr>
          <w:rFonts w:ascii="Times New Roman" w:hAnsi="Times New Roman"/>
          <w:szCs w:val="24"/>
        </w:rPr>
      </w:pPr>
      <w:r>
        <w:rPr>
          <w:rFonts w:ascii="Times New Roman" w:hAnsi="Times New Roman"/>
          <w:szCs w:val="24"/>
          <w:lang w:val="en-US"/>
        </w:rPr>
        <w:drawing>
          <wp:inline distT="0" distB="0" distL="114300" distR="114300">
            <wp:extent cx="5777865" cy="1733550"/>
            <wp:effectExtent l="0" t="0" r="13335" b="0"/>
            <wp:docPr id="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4"/>
                    <pic:cNvPicPr>
                      <a:picLocks noChangeAspect="1"/>
                    </pic:cNvPicPr>
                  </pic:nvPicPr>
                  <pic:blipFill>
                    <a:blip r:embed="rId49"/>
                    <a:stretch>
                      <a:fillRect/>
                    </a:stretch>
                  </pic:blipFill>
                  <pic:spPr>
                    <a:xfrm>
                      <a:off x="0" y="0"/>
                      <a:ext cx="5777865" cy="1733550"/>
                    </a:xfrm>
                    <a:prstGeom prst="rect">
                      <a:avLst/>
                    </a:prstGeom>
                    <a:noFill/>
                    <a:ln>
                      <a:noFill/>
                    </a:ln>
                  </pic:spPr>
                </pic:pic>
              </a:graphicData>
            </a:graphic>
          </wp:inline>
        </w:drawing>
      </w:r>
    </w:p>
    <w:p w14:paraId="7C037679">
      <w:pPr>
        <w:pStyle w:val="10"/>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20</w:t>
      </w:r>
      <w:r>
        <w:rPr>
          <w:rFonts w:ascii="Times New Roman" w:hAnsi="Times New Roman"/>
          <w:color w:val="auto"/>
        </w:rPr>
        <w:fldChar w:fldCharType="end"/>
      </w:r>
      <w:bookmarkStart w:id="218" w:name="_Toc23909"/>
      <w:bookmarkStart w:id="219" w:name="_Toc14795"/>
      <w:r>
        <w:rPr>
          <w:rFonts w:ascii="Times New Roman" w:hAnsi="Times New Roman"/>
          <w:color w:val="auto"/>
        </w:rPr>
        <w:t>:Environmental Issues of Concern</w:t>
      </w:r>
      <w:bookmarkEnd w:id="218"/>
      <w:bookmarkEnd w:id="219"/>
    </w:p>
    <w:p w14:paraId="2BE50CF9">
      <w:pPr>
        <w:spacing w:line="240" w:lineRule="auto"/>
        <w:rPr>
          <w:rFonts w:ascii="Times New Roman" w:hAnsi="Times New Roman"/>
          <w:szCs w:val="24"/>
        </w:rPr>
      </w:pPr>
      <w:r>
        <w:rPr>
          <w:rFonts w:ascii="Times New Roman" w:hAnsi="Times New Roman"/>
          <w:szCs w:val="24"/>
        </w:rPr>
        <w:t xml:space="preserve">With most respondents dumping their household waste in the area, the collection of solid waste is a major initiative being carried out. Other initiatives being carried out in the area included educating the public, planting trees, cleaning of mosquito sites and construction of toilets. </w:t>
      </w:r>
    </w:p>
    <w:p w14:paraId="0D2F809B">
      <w:pPr>
        <w:spacing w:line="240" w:lineRule="auto"/>
        <w:rPr>
          <w:rFonts w:ascii="Times New Roman" w:hAnsi="Times New Roman"/>
          <w:szCs w:val="24"/>
        </w:rPr>
      </w:pPr>
      <w:r>
        <w:rPr>
          <w:rFonts w:ascii="Times New Roman" w:hAnsi="Times New Roman"/>
          <w:szCs w:val="24"/>
          <w:lang w:val="en-US"/>
        </w:rPr>
        <w:drawing>
          <wp:inline distT="0" distB="0" distL="114300" distR="114300">
            <wp:extent cx="5162550" cy="2705100"/>
            <wp:effectExtent l="4445" t="4445" r="14605" b="14605"/>
            <wp:docPr id="73" name="Chart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2656D1B">
      <w:pPr>
        <w:pStyle w:val="10"/>
        <w:rPr>
          <w:rFonts w:ascii="Times New Roman" w:hAnsi="Times New Roman"/>
          <w:i w:val="0"/>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21</w:t>
      </w:r>
      <w:r>
        <w:rPr>
          <w:rFonts w:ascii="Times New Roman" w:hAnsi="Times New Roman"/>
          <w:color w:val="auto"/>
        </w:rPr>
        <w:fldChar w:fldCharType="end"/>
      </w:r>
      <w:bookmarkStart w:id="220" w:name="_Toc32254"/>
      <w:bookmarkStart w:id="221" w:name="_Toc22254"/>
      <w:r>
        <w:rPr>
          <w:rFonts w:ascii="Times New Roman" w:hAnsi="Times New Roman"/>
          <w:color w:val="auto"/>
        </w:rPr>
        <w:t xml:space="preserve">  : Environmental Conservation Initiatives</w:t>
      </w:r>
      <w:bookmarkEnd w:id="220"/>
      <w:bookmarkEnd w:id="221"/>
    </w:p>
    <w:p w14:paraId="3817AADB">
      <w:pPr>
        <w:spacing w:line="240" w:lineRule="auto"/>
        <w:rPr>
          <w:rFonts w:ascii="Times New Roman" w:hAnsi="Times New Roman"/>
          <w:szCs w:val="24"/>
        </w:rPr>
      </w:pPr>
      <w:r>
        <w:rPr>
          <w:rFonts w:ascii="Times New Roman" w:hAnsi="Times New Roman"/>
          <w:szCs w:val="24"/>
        </w:rPr>
        <w:t xml:space="preserve">These activities are primarily carried out by the County government, youth groups, and community-based organisations. </w:t>
      </w:r>
    </w:p>
    <w:p w14:paraId="7F026BBF">
      <w:pPr>
        <w:spacing w:line="240" w:lineRule="auto"/>
        <w:rPr>
          <w:rFonts w:ascii="Times New Roman" w:hAnsi="Times New Roman"/>
          <w:szCs w:val="24"/>
        </w:rPr>
      </w:pPr>
      <w:r>
        <w:rPr>
          <w:rFonts w:ascii="Times New Roman" w:hAnsi="Times New Roman"/>
          <w:szCs w:val="24"/>
          <w:lang w:val="en-US"/>
        </w:rPr>
        <w:drawing>
          <wp:inline distT="0" distB="0" distL="114300" distR="114300">
            <wp:extent cx="4781550" cy="3009900"/>
            <wp:effectExtent l="4445" t="4445" r="14605" b="14605"/>
            <wp:docPr id="74" name="Chart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AEC7693">
      <w:pPr>
        <w:pStyle w:val="10"/>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22</w:t>
      </w:r>
      <w:r>
        <w:rPr>
          <w:rFonts w:ascii="Times New Roman" w:hAnsi="Times New Roman"/>
          <w:color w:val="auto"/>
        </w:rPr>
        <w:fldChar w:fldCharType="end"/>
      </w:r>
      <w:bookmarkStart w:id="222" w:name="_Toc4339"/>
      <w:bookmarkStart w:id="223" w:name="_Toc32355"/>
      <w:r>
        <w:rPr>
          <w:rFonts w:ascii="Times New Roman" w:hAnsi="Times New Roman"/>
          <w:color w:val="auto"/>
        </w:rPr>
        <w:t xml:space="preserve">  : Implementers of Environmental Conservation Initiative</w:t>
      </w:r>
      <w:bookmarkEnd w:id="222"/>
      <w:bookmarkEnd w:id="223"/>
    </w:p>
    <w:p w14:paraId="7C8DA65D">
      <w:pPr>
        <w:spacing w:line="240" w:lineRule="auto"/>
        <w:rPr>
          <w:rFonts w:ascii="Times New Roman" w:hAnsi="Times New Roman"/>
          <w:szCs w:val="24"/>
        </w:rPr>
      </w:pPr>
      <w:r>
        <w:rPr>
          <w:rFonts w:ascii="Times New Roman" w:hAnsi="Times New Roman"/>
          <w:szCs w:val="24"/>
        </w:rPr>
        <w:t>87% of the population feel that the project will help conserve the environment due to the reduced raw sewage making its way to the underground and surface water sources.</w:t>
      </w:r>
    </w:p>
    <w:p w14:paraId="61342A21">
      <w:pPr>
        <w:spacing w:line="240" w:lineRule="auto"/>
        <w:rPr>
          <w:rFonts w:ascii="Times New Roman" w:hAnsi="Times New Roman"/>
          <w:szCs w:val="24"/>
        </w:rPr>
      </w:pPr>
      <w:r>
        <w:rPr>
          <w:rFonts w:ascii="Times New Roman" w:hAnsi="Times New Roman"/>
          <w:szCs w:val="24"/>
          <w:lang w:val="en-US"/>
        </w:rPr>
        <w:drawing>
          <wp:inline distT="0" distB="0" distL="114300" distR="114300">
            <wp:extent cx="4324350" cy="3352800"/>
            <wp:effectExtent l="4445" t="5080" r="14605" b="13970"/>
            <wp:docPr id="90" name="Chart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9412701">
      <w:pPr>
        <w:pStyle w:val="10"/>
        <w:rPr>
          <w:rFonts w:ascii="Times New Roman" w:hAnsi="Times New Roman"/>
          <w:i w:val="0"/>
          <w:color w:val="auto"/>
        </w:rPr>
      </w:pPr>
      <w:r>
        <w:rPr>
          <w:rFonts w:ascii="Times New Roman" w:hAnsi="Times New Roman"/>
          <w:color w:val="auto"/>
        </w:rPr>
        <w:t xml:space="preserve">Figure </w:t>
      </w:r>
      <w:r>
        <w:rPr>
          <w:rFonts w:ascii="Times New Roman" w:hAnsi="Times New Roman"/>
          <w:i w:val="0"/>
          <w:iCs w:val="0"/>
          <w:color w:val="auto"/>
        </w:rPr>
        <w:fldChar w:fldCharType="begin"/>
      </w:r>
      <w:r>
        <w:rPr>
          <w:rFonts w:ascii="Times New Roman" w:hAnsi="Times New Roman"/>
          <w:color w:val="auto"/>
        </w:rPr>
        <w:instrText xml:space="preserve"> SEQ Figure \* ARABIC </w:instrText>
      </w:r>
      <w:r>
        <w:rPr>
          <w:rFonts w:ascii="Times New Roman" w:hAnsi="Times New Roman"/>
          <w:i w:val="0"/>
          <w:iCs w:val="0"/>
          <w:color w:val="auto"/>
        </w:rPr>
        <w:fldChar w:fldCharType="separate"/>
      </w:r>
      <w:r>
        <w:rPr>
          <w:rFonts w:ascii="Times New Roman" w:hAnsi="Times New Roman"/>
          <w:color w:val="auto"/>
        </w:rPr>
        <w:t>23</w:t>
      </w:r>
      <w:r>
        <w:rPr>
          <w:rFonts w:ascii="Times New Roman" w:hAnsi="Times New Roman"/>
          <w:i w:val="0"/>
          <w:iCs w:val="0"/>
          <w:color w:val="auto"/>
        </w:rPr>
        <w:fldChar w:fldCharType="end"/>
      </w:r>
      <w:bookmarkStart w:id="224" w:name="_Toc9631"/>
      <w:bookmarkStart w:id="225" w:name="_Toc32128"/>
      <w:r>
        <w:rPr>
          <w:rFonts w:ascii="Times New Roman" w:hAnsi="Times New Roman"/>
          <w:color w:val="auto"/>
        </w:rPr>
        <w:t>: Will the sanitation Project help in conserving the Environment</w:t>
      </w:r>
      <w:bookmarkEnd w:id="224"/>
      <w:bookmarkEnd w:id="225"/>
    </w:p>
    <w:p w14:paraId="4382243C">
      <w:pPr>
        <w:spacing w:line="240" w:lineRule="auto"/>
        <w:rPr>
          <w:rFonts w:ascii="Times New Roman" w:hAnsi="Times New Roman"/>
          <w:szCs w:val="24"/>
        </w:rPr>
      </w:pPr>
    </w:p>
    <w:p w14:paraId="72B4E796">
      <w:pPr>
        <w:pStyle w:val="4"/>
        <w:numPr>
          <w:ilvl w:val="2"/>
          <w:numId w:val="25"/>
        </w:numPr>
        <w:shd w:val="clear" w:color="auto" w:fill="auto"/>
        <w:spacing w:line="240" w:lineRule="auto"/>
        <w:rPr>
          <w:rFonts w:ascii="Times New Roman" w:hAnsi="Times New Roman"/>
        </w:rPr>
      </w:pPr>
      <w:bookmarkStart w:id="226" w:name="_Toc25199"/>
      <w:bookmarkStart w:id="227" w:name="_Toc220710808"/>
      <w:bookmarkStart w:id="228" w:name="_Toc17727"/>
      <w:bookmarkStart w:id="229" w:name="_Toc536685070"/>
      <w:bookmarkStart w:id="230" w:name="_Toc9695"/>
      <w:r>
        <w:rPr>
          <w:rFonts w:ascii="Times New Roman" w:hAnsi="Times New Roman"/>
        </w:rPr>
        <w:t>The Project</w:t>
      </w:r>
      <w:bookmarkEnd w:id="226"/>
      <w:bookmarkEnd w:id="227"/>
      <w:bookmarkEnd w:id="228"/>
      <w:bookmarkEnd w:id="229"/>
      <w:bookmarkEnd w:id="230"/>
    </w:p>
    <w:p w14:paraId="212564DF">
      <w:pPr>
        <w:spacing w:line="240" w:lineRule="auto"/>
        <w:rPr>
          <w:rFonts w:ascii="Times New Roman" w:hAnsi="Times New Roman"/>
          <w:szCs w:val="24"/>
        </w:rPr>
      </w:pPr>
      <w:r>
        <w:rPr>
          <w:rFonts w:ascii="Times New Roman" w:hAnsi="Times New Roman"/>
          <w:szCs w:val="24"/>
        </w:rPr>
        <w:t xml:space="preserve">Most of the respondents said that they were aware of the works through the public participation meeting. </w:t>
      </w:r>
    </w:p>
    <w:p w14:paraId="329B90C2">
      <w:pPr>
        <w:spacing w:line="240" w:lineRule="auto"/>
        <w:rPr>
          <w:rFonts w:ascii="Times New Roman" w:hAnsi="Times New Roman"/>
          <w:szCs w:val="24"/>
        </w:rPr>
      </w:pPr>
      <w:r>
        <w:rPr>
          <w:rFonts w:ascii="Times New Roman" w:hAnsi="Times New Roman"/>
          <w:szCs w:val="24"/>
        </w:rPr>
        <w:drawing>
          <wp:inline distT="0" distB="0" distL="114300" distR="114300">
            <wp:extent cx="4572000" cy="2400300"/>
            <wp:effectExtent l="4445" t="4445" r="14605" b="14605"/>
            <wp:docPr id="89" name="Chart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50D42D6">
      <w:pPr>
        <w:pStyle w:val="10"/>
        <w:rPr>
          <w:rFonts w:ascii="Times New Roman" w:hAnsi="Times New Roman"/>
          <w:color w:val="auto"/>
        </w:rPr>
      </w:pPr>
      <w:r>
        <w:rPr>
          <w:rFonts w:ascii="Times New Roman" w:hAnsi="Times New Roman"/>
          <w:color w:val="auto"/>
        </w:rPr>
        <w:t xml:space="preserve">Figure </w:t>
      </w:r>
      <w:r>
        <w:rPr>
          <w:rFonts w:ascii="Times New Roman" w:hAnsi="Times New Roman"/>
          <w:i w:val="0"/>
          <w:iCs w:val="0"/>
          <w:color w:val="auto"/>
        </w:rPr>
        <w:fldChar w:fldCharType="begin"/>
      </w:r>
      <w:r>
        <w:rPr>
          <w:rFonts w:ascii="Times New Roman" w:hAnsi="Times New Roman"/>
          <w:color w:val="auto"/>
        </w:rPr>
        <w:instrText xml:space="preserve"> SEQ Figure \* ARABIC </w:instrText>
      </w:r>
      <w:r>
        <w:rPr>
          <w:rFonts w:ascii="Times New Roman" w:hAnsi="Times New Roman"/>
          <w:i w:val="0"/>
          <w:iCs w:val="0"/>
          <w:color w:val="auto"/>
        </w:rPr>
        <w:fldChar w:fldCharType="separate"/>
      </w:r>
      <w:r>
        <w:rPr>
          <w:rFonts w:ascii="Times New Roman" w:hAnsi="Times New Roman"/>
          <w:color w:val="auto"/>
        </w:rPr>
        <w:t>24</w:t>
      </w:r>
      <w:r>
        <w:rPr>
          <w:rFonts w:ascii="Times New Roman" w:hAnsi="Times New Roman"/>
          <w:i w:val="0"/>
          <w:iCs w:val="0"/>
          <w:color w:val="auto"/>
        </w:rPr>
        <w:fldChar w:fldCharType="end"/>
      </w:r>
      <w:bookmarkStart w:id="231" w:name="_Toc23023"/>
      <w:bookmarkStart w:id="232" w:name="_Toc15040"/>
      <w:r>
        <w:rPr>
          <w:rFonts w:ascii="Times New Roman" w:hAnsi="Times New Roman"/>
          <w:color w:val="auto"/>
        </w:rPr>
        <w:t>:Public Awareness of the Intended Construction of the ablution block.</w:t>
      </w:r>
      <w:bookmarkEnd w:id="231"/>
      <w:bookmarkEnd w:id="232"/>
    </w:p>
    <w:p w14:paraId="38C9D5D9">
      <w:pPr>
        <w:spacing w:line="240" w:lineRule="auto"/>
        <w:jc w:val="both"/>
        <w:rPr>
          <w:rFonts w:ascii="Times New Roman" w:hAnsi="Times New Roman"/>
          <w:szCs w:val="24"/>
        </w:rPr>
      </w:pPr>
      <w:r>
        <w:rPr>
          <w:rFonts w:ascii="Times New Roman" w:hAnsi="Times New Roman"/>
          <w:szCs w:val="24"/>
        </w:rPr>
        <w:t>95% of the respondents said that they believe the construction of the ablution block will be beneficial.</w:t>
      </w:r>
    </w:p>
    <w:p w14:paraId="321DB1F6">
      <w:pPr>
        <w:spacing w:line="240" w:lineRule="auto"/>
        <w:rPr>
          <w:rFonts w:ascii="Times New Roman" w:hAnsi="Times New Roman"/>
          <w:szCs w:val="24"/>
        </w:rPr>
      </w:pPr>
      <w:r>
        <w:rPr>
          <w:rFonts w:ascii="Times New Roman" w:hAnsi="Times New Roman"/>
          <w:szCs w:val="24"/>
          <w:lang w:val="en-US"/>
        </w:rPr>
        <w:drawing>
          <wp:inline distT="0" distB="0" distL="114300" distR="114300">
            <wp:extent cx="4438650" cy="2209800"/>
            <wp:effectExtent l="4445" t="4445" r="14605" b="14605"/>
            <wp:docPr id="72" name="Chart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40F2D3">
      <w:pPr>
        <w:pStyle w:val="10"/>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25</w:t>
      </w:r>
      <w:r>
        <w:rPr>
          <w:rFonts w:ascii="Times New Roman" w:hAnsi="Times New Roman"/>
          <w:color w:val="auto"/>
        </w:rPr>
        <w:fldChar w:fldCharType="end"/>
      </w:r>
      <w:bookmarkStart w:id="233" w:name="_Toc3320"/>
      <w:bookmarkStart w:id="234" w:name="_Toc4620"/>
      <w:r>
        <w:rPr>
          <w:rFonts w:ascii="Times New Roman" w:hAnsi="Times New Roman"/>
          <w:color w:val="auto"/>
        </w:rPr>
        <w:t>: Perceived Impact of the Sanitation Project</w:t>
      </w:r>
      <w:bookmarkEnd w:id="233"/>
      <w:bookmarkEnd w:id="234"/>
    </w:p>
    <w:p w14:paraId="2EB054EE">
      <w:pPr>
        <w:spacing w:line="240" w:lineRule="auto"/>
        <w:jc w:val="both"/>
        <w:rPr>
          <w:rFonts w:ascii="Times New Roman" w:hAnsi="Times New Roman"/>
          <w:szCs w:val="24"/>
        </w:rPr>
      </w:pPr>
      <w:r>
        <w:rPr>
          <w:rFonts w:ascii="Times New Roman" w:hAnsi="Times New Roman"/>
          <w:szCs w:val="24"/>
        </w:rPr>
        <w:t>Positive impacts expected from the implementation of the project were primarily associated with hygiene and the environment. 71% of the respondents said that they believed the project would improve hygiene, sanitation and reduce the cases of water-borne diseases. The rest believed the project would improve a business in the area, increase land value and create employment opportunities.</w:t>
      </w:r>
    </w:p>
    <w:p w14:paraId="3DB704DB">
      <w:pPr>
        <w:spacing w:line="240" w:lineRule="auto"/>
        <w:rPr>
          <w:rFonts w:ascii="Times New Roman" w:hAnsi="Times New Roman"/>
          <w:szCs w:val="24"/>
        </w:rPr>
      </w:pPr>
      <w:r>
        <w:rPr>
          <w:rFonts w:ascii="Times New Roman" w:hAnsi="Times New Roman"/>
          <w:szCs w:val="24"/>
        </w:rPr>
        <w:drawing>
          <wp:inline distT="0" distB="0" distL="114300" distR="114300">
            <wp:extent cx="4572000" cy="2743200"/>
            <wp:effectExtent l="4445" t="4445" r="14605" b="14605"/>
            <wp:docPr id="92" name="Chart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1420998">
      <w:pPr>
        <w:pStyle w:val="10"/>
        <w:rPr>
          <w:rFonts w:ascii="Times New Roman" w:hAnsi="Times New Roman"/>
          <w:color w:val="auto"/>
        </w:rPr>
      </w:pPr>
      <w:r>
        <w:rPr>
          <w:rFonts w:ascii="Times New Roman" w:hAnsi="Times New Roman"/>
          <w:color w:val="auto"/>
        </w:rPr>
        <w:t xml:space="preserve">Figure </w:t>
      </w:r>
      <w:r>
        <w:rPr>
          <w:rFonts w:ascii="Times New Roman" w:hAnsi="Times New Roman"/>
          <w:color w:val="auto"/>
        </w:rPr>
        <w:fldChar w:fldCharType="begin"/>
      </w:r>
      <w:r>
        <w:rPr>
          <w:rFonts w:ascii="Times New Roman" w:hAnsi="Times New Roman"/>
          <w:color w:val="auto"/>
        </w:rPr>
        <w:instrText xml:space="preserve"> SEQ Figure \* ARABIC </w:instrText>
      </w:r>
      <w:r>
        <w:rPr>
          <w:rFonts w:ascii="Times New Roman" w:hAnsi="Times New Roman"/>
          <w:color w:val="auto"/>
        </w:rPr>
        <w:fldChar w:fldCharType="separate"/>
      </w:r>
      <w:r>
        <w:rPr>
          <w:rFonts w:ascii="Times New Roman" w:hAnsi="Times New Roman"/>
          <w:color w:val="auto"/>
        </w:rPr>
        <w:t>26</w:t>
      </w:r>
      <w:r>
        <w:rPr>
          <w:rFonts w:ascii="Times New Roman" w:hAnsi="Times New Roman"/>
          <w:color w:val="auto"/>
        </w:rPr>
        <w:fldChar w:fldCharType="end"/>
      </w:r>
      <w:bookmarkStart w:id="235" w:name="_Toc14776"/>
      <w:bookmarkStart w:id="236" w:name="_Toc2590"/>
      <w:r>
        <w:rPr>
          <w:rFonts w:ascii="Times New Roman" w:hAnsi="Times New Roman"/>
          <w:color w:val="auto"/>
        </w:rPr>
        <w:t>:Positive Impacts of the Proposed Project</w:t>
      </w:r>
      <w:bookmarkEnd w:id="235"/>
      <w:bookmarkEnd w:id="236"/>
    </w:p>
    <w:bookmarkEnd w:id="154"/>
    <w:p w14:paraId="4D76E35C">
      <w:pPr>
        <w:pStyle w:val="10"/>
        <w:rPr>
          <w:rFonts w:ascii="Times New Roman" w:hAnsi="Times New Roman"/>
          <w:color w:val="auto"/>
        </w:rPr>
      </w:pPr>
      <w:r>
        <w:rPr>
          <w:rFonts w:ascii="Times New Roman" w:hAnsi="Times New Roman"/>
          <w:color w:val="auto"/>
        </w:rPr>
        <w:br w:type="page"/>
      </w:r>
    </w:p>
    <w:bookmarkEnd w:id="155"/>
    <w:p w14:paraId="64FD23C6">
      <w:pPr>
        <w:pStyle w:val="2"/>
        <w:numPr>
          <w:ilvl w:val="0"/>
          <w:numId w:val="25"/>
        </w:numPr>
        <w:pBdr>
          <w:top w:val="single" w:color="1F497D" w:sz="12" w:space="1"/>
          <w:bottom w:val="single" w:color="1F497D" w:sz="12" w:space="1"/>
        </w:pBdr>
        <w:shd w:val="clear" w:color="auto" w:fill="auto"/>
        <w:spacing w:before="240" w:after="240" w:line="240" w:lineRule="auto"/>
        <w:contextualSpacing/>
        <w:jc w:val="both"/>
        <w:rPr>
          <w:rFonts w:ascii="Times New Roman" w:hAnsi="Times New Roman"/>
          <w:szCs w:val="24"/>
        </w:rPr>
      </w:pPr>
      <w:bookmarkStart w:id="237" w:name="_Toc18869"/>
      <w:bookmarkStart w:id="238" w:name="_Toc534802997"/>
      <w:bookmarkStart w:id="239" w:name="_Toc11600"/>
      <w:bookmarkStart w:id="240" w:name="_Toc220710809"/>
      <w:bookmarkStart w:id="241" w:name="_Toc1298"/>
      <w:r>
        <w:rPr>
          <w:rFonts w:ascii="Times New Roman" w:hAnsi="Times New Roman"/>
          <w:szCs w:val="24"/>
        </w:rPr>
        <w:t>Stakeholder Engagement and Public Consultation</w:t>
      </w:r>
      <w:bookmarkEnd w:id="237"/>
      <w:bookmarkEnd w:id="238"/>
      <w:bookmarkEnd w:id="239"/>
      <w:bookmarkEnd w:id="240"/>
      <w:bookmarkEnd w:id="241"/>
      <w:r>
        <w:rPr>
          <w:rFonts w:ascii="Times New Roman" w:hAnsi="Times New Roman"/>
          <w:szCs w:val="24"/>
        </w:rPr>
        <w:t xml:space="preserve"> </w:t>
      </w:r>
    </w:p>
    <w:p w14:paraId="5E525D96">
      <w:pPr>
        <w:pStyle w:val="3"/>
        <w:spacing w:line="240" w:lineRule="auto"/>
        <w:rPr>
          <w:rFonts w:ascii="Times New Roman" w:hAnsi="Times New Roman" w:cs="Times New Roman"/>
          <w:sz w:val="24"/>
          <w:szCs w:val="24"/>
        </w:rPr>
      </w:pPr>
      <w:bookmarkStart w:id="242" w:name="_Toc341"/>
      <w:bookmarkStart w:id="243" w:name="_Toc16284"/>
      <w:bookmarkStart w:id="244" w:name="_Toc220710810"/>
      <w:bookmarkStart w:id="245" w:name="_Toc9347"/>
      <w:bookmarkStart w:id="246" w:name="_Toc534802998"/>
      <w:r>
        <w:rPr>
          <w:rFonts w:ascii="Times New Roman" w:hAnsi="Times New Roman" w:cs="Times New Roman"/>
          <w:sz w:val="24"/>
          <w:szCs w:val="24"/>
        </w:rPr>
        <w:t>4.1</w:t>
      </w:r>
      <w:r>
        <w:rPr>
          <w:rFonts w:ascii="Times New Roman" w:hAnsi="Times New Roman" w:cs="Times New Roman"/>
          <w:sz w:val="24"/>
          <w:szCs w:val="24"/>
        </w:rPr>
        <w:tab/>
      </w:r>
      <w:r>
        <w:rPr>
          <w:rFonts w:ascii="Times New Roman" w:hAnsi="Times New Roman" w:cs="Times New Roman"/>
          <w:sz w:val="24"/>
          <w:szCs w:val="24"/>
        </w:rPr>
        <w:t>General</w:t>
      </w:r>
      <w:bookmarkEnd w:id="242"/>
      <w:bookmarkEnd w:id="243"/>
      <w:bookmarkEnd w:id="244"/>
      <w:bookmarkEnd w:id="245"/>
      <w:bookmarkEnd w:id="246"/>
    </w:p>
    <w:p w14:paraId="18DD2A99">
      <w:pPr>
        <w:spacing w:line="240" w:lineRule="auto"/>
        <w:jc w:val="both"/>
        <w:rPr>
          <w:rFonts w:ascii="Times New Roman" w:hAnsi="Times New Roman"/>
          <w:szCs w:val="24"/>
          <w:lang w:val="en-US"/>
        </w:rPr>
      </w:pPr>
      <w:r>
        <w:rPr>
          <w:rFonts w:ascii="Times New Roman" w:hAnsi="Times New Roman"/>
          <w:szCs w:val="24"/>
          <w:lang w:val="en-US"/>
        </w:rPr>
        <w:t>Public and stakeholder consultation is required under the Environmental Management and Coordination (Amendments) Act 2015, as well as the Environmental Impact Assessment and Audit Regulations (2003) and under the World Bank’s OP 4.01 – Environmental Assessment. Public and stakeholder consultation is useful for gathering environmental and socio-economic information, understanding likely impacts, and determining community as well as individual preferences. Through this process, stakeholders have an opportunity to contribute to the overall project design by making recommendations and raising concerns. In addition, the process creates a sense of responsibility, commitment and local ownership for smooth implementation of the project.</w:t>
      </w:r>
    </w:p>
    <w:p w14:paraId="77B7E0A8">
      <w:pPr>
        <w:spacing w:line="240" w:lineRule="auto"/>
        <w:jc w:val="both"/>
        <w:rPr>
          <w:rFonts w:ascii="Times New Roman" w:hAnsi="Times New Roman"/>
          <w:szCs w:val="24"/>
          <w:lang w:val="en-US"/>
        </w:rPr>
      </w:pPr>
      <w:r>
        <w:rPr>
          <w:rFonts w:ascii="Times New Roman" w:hAnsi="Times New Roman"/>
          <w:szCs w:val="24"/>
          <w:lang w:val="en-US"/>
        </w:rPr>
        <w:t>Effective public participation requires the availability of adequate information in public inputs. The latter involves various values, critiques, questions, information, suggestions and other inputs, which are expressed by individuals, groups or organizations among the public to influence decision-making. Public consultations with Interested and Affected Parties (IAPs) were carried out to:</w:t>
      </w:r>
    </w:p>
    <w:p w14:paraId="64328C42">
      <w:pPr>
        <w:numPr>
          <w:ilvl w:val="0"/>
          <w:numId w:val="26"/>
        </w:numPr>
        <w:spacing w:line="240" w:lineRule="auto"/>
        <w:jc w:val="both"/>
        <w:rPr>
          <w:rFonts w:ascii="Times New Roman" w:hAnsi="Times New Roman"/>
          <w:szCs w:val="24"/>
          <w:lang w:val="en-US"/>
        </w:rPr>
      </w:pPr>
      <w:r>
        <w:rPr>
          <w:rFonts w:ascii="Times New Roman" w:hAnsi="Times New Roman"/>
          <w:szCs w:val="24"/>
          <w:lang w:val="en-US"/>
        </w:rPr>
        <w:t xml:space="preserve">Inform the local people, leaders and other stakeholders about the proposed project and its objectives; </w:t>
      </w:r>
    </w:p>
    <w:p w14:paraId="023BAA4E">
      <w:pPr>
        <w:numPr>
          <w:ilvl w:val="0"/>
          <w:numId w:val="26"/>
        </w:numPr>
        <w:spacing w:line="240" w:lineRule="auto"/>
        <w:jc w:val="both"/>
        <w:rPr>
          <w:rFonts w:ascii="Times New Roman" w:hAnsi="Times New Roman"/>
          <w:szCs w:val="24"/>
          <w:lang w:val="en-US"/>
        </w:rPr>
      </w:pPr>
      <w:r>
        <w:rPr>
          <w:rFonts w:ascii="Times New Roman" w:hAnsi="Times New Roman"/>
          <w:szCs w:val="24"/>
          <w:lang w:val="en-US"/>
        </w:rPr>
        <w:t xml:space="preserve">Initiate public involvement processes, in a bid to induce and cultivate a sense of peoples’ belongingness to the project; </w:t>
      </w:r>
    </w:p>
    <w:p w14:paraId="46011C25">
      <w:pPr>
        <w:numPr>
          <w:ilvl w:val="0"/>
          <w:numId w:val="26"/>
        </w:numPr>
        <w:spacing w:line="240" w:lineRule="auto"/>
        <w:jc w:val="both"/>
        <w:rPr>
          <w:rFonts w:ascii="Times New Roman" w:hAnsi="Times New Roman"/>
          <w:szCs w:val="24"/>
          <w:lang w:val="en-US"/>
        </w:rPr>
      </w:pPr>
      <w:r>
        <w:rPr>
          <w:rFonts w:ascii="Times New Roman" w:hAnsi="Times New Roman"/>
          <w:szCs w:val="24"/>
          <w:lang w:val="en-US"/>
        </w:rPr>
        <w:t xml:space="preserve">Suggest and facilitate the peoples’ roles in the project’s sustainability, in terms of management, maintenance and productivity; </w:t>
      </w:r>
    </w:p>
    <w:p w14:paraId="33A19EEC">
      <w:pPr>
        <w:numPr>
          <w:ilvl w:val="0"/>
          <w:numId w:val="26"/>
        </w:numPr>
        <w:spacing w:line="240" w:lineRule="auto"/>
        <w:jc w:val="both"/>
        <w:rPr>
          <w:rFonts w:ascii="Times New Roman" w:hAnsi="Times New Roman"/>
          <w:szCs w:val="24"/>
          <w:lang w:val="en-US"/>
        </w:rPr>
      </w:pPr>
      <w:r>
        <w:rPr>
          <w:rFonts w:ascii="Times New Roman" w:hAnsi="Times New Roman"/>
          <w:szCs w:val="24"/>
          <w:lang w:val="en-US"/>
        </w:rPr>
        <w:t xml:space="preserve">Seek views, concerns and opinions of people in the area concerning the project. </w:t>
      </w:r>
    </w:p>
    <w:p w14:paraId="5A5A884B">
      <w:pPr>
        <w:numPr>
          <w:ilvl w:val="0"/>
          <w:numId w:val="26"/>
        </w:numPr>
        <w:spacing w:line="240" w:lineRule="auto"/>
        <w:jc w:val="both"/>
        <w:rPr>
          <w:rFonts w:ascii="Times New Roman" w:hAnsi="Times New Roman"/>
          <w:szCs w:val="24"/>
          <w:lang w:val="en-US"/>
        </w:rPr>
      </w:pPr>
      <w:r>
        <w:rPr>
          <w:rFonts w:ascii="Times New Roman" w:hAnsi="Times New Roman"/>
          <w:szCs w:val="24"/>
          <w:lang w:val="en-US"/>
        </w:rPr>
        <w:t xml:space="preserve">Establish if the local people foresee any positive or negative environmental effects from the project and if so, how they would wish the perceived impacts to be addressed; </w:t>
      </w:r>
    </w:p>
    <w:p w14:paraId="5E2B86CD">
      <w:pPr>
        <w:pStyle w:val="32"/>
        <w:numPr>
          <w:ilvl w:val="0"/>
          <w:numId w:val="26"/>
        </w:numPr>
        <w:spacing w:line="240" w:lineRule="auto"/>
        <w:jc w:val="both"/>
        <w:rPr>
          <w:rFonts w:ascii="Times New Roman" w:hAnsi="Times New Roman"/>
          <w:szCs w:val="24"/>
        </w:rPr>
      </w:pPr>
      <w:r>
        <w:rPr>
          <w:rFonts w:ascii="Times New Roman" w:hAnsi="Times New Roman"/>
          <w:szCs w:val="24"/>
          <w:lang w:val="en-US"/>
        </w:rPr>
        <w:t>Find out if there are issues or places of cultural/or religious importance to the local communities that could be negatively impacted upon by the project and its infrastructure.</w:t>
      </w:r>
    </w:p>
    <w:p w14:paraId="46DF5358">
      <w:pPr>
        <w:pStyle w:val="3"/>
        <w:spacing w:line="240" w:lineRule="auto"/>
        <w:rPr>
          <w:rFonts w:ascii="Times New Roman" w:hAnsi="Times New Roman" w:cs="Times New Roman"/>
          <w:sz w:val="24"/>
          <w:szCs w:val="24"/>
        </w:rPr>
      </w:pPr>
      <w:bookmarkStart w:id="247" w:name="_Toc220710811"/>
      <w:bookmarkStart w:id="248" w:name="_Toc5567"/>
      <w:bookmarkStart w:id="249" w:name="_Toc534802999"/>
      <w:bookmarkStart w:id="250" w:name="_Toc18205"/>
      <w:bookmarkStart w:id="251" w:name="_Toc30016"/>
      <w:r>
        <w:rPr>
          <w:rFonts w:ascii="Times New Roman" w:hAnsi="Times New Roman" w:cs="Times New Roman"/>
          <w:sz w:val="24"/>
          <w:szCs w:val="24"/>
        </w:rPr>
        <w:t>4.2</w:t>
      </w:r>
      <w:r>
        <w:rPr>
          <w:rFonts w:ascii="Times New Roman" w:hAnsi="Times New Roman" w:cs="Times New Roman"/>
          <w:sz w:val="24"/>
          <w:szCs w:val="24"/>
        </w:rPr>
        <w:tab/>
      </w:r>
      <w:r>
        <w:rPr>
          <w:rFonts w:ascii="Times New Roman" w:hAnsi="Times New Roman" w:cs="Times New Roman"/>
          <w:sz w:val="24"/>
          <w:szCs w:val="24"/>
        </w:rPr>
        <w:t>Applicable Laws, Regulations and Policies to Public Engagement</w:t>
      </w:r>
      <w:bookmarkEnd w:id="247"/>
      <w:bookmarkEnd w:id="248"/>
      <w:bookmarkEnd w:id="249"/>
      <w:bookmarkEnd w:id="250"/>
      <w:bookmarkEnd w:id="251"/>
    </w:p>
    <w:p w14:paraId="008D2DE4">
      <w:pPr>
        <w:spacing w:line="240" w:lineRule="auto"/>
        <w:jc w:val="both"/>
        <w:rPr>
          <w:rFonts w:ascii="Times New Roman" w:hAnsi="Times New Roman"/>
          <w:szCs w:val="24"/>
          <w:lang w:val="en-US"/>
        </w:rPr>
      </w:pPr>
      <w:r>
        <w:rPr>
          <w:rFonts w:ascii="Times New Roman" w:hAnsi="Times New Roman"/>
          <w:szCs w:val="24"/>
          <w:lang w:val="en-US"/>
        </w:rPr>
        <w:t>The Environmental Management and Coordination (Amendment) Act (2015) as well as the Environmental Impact Assessment and Audit Regulations (2003) set out the minimum requirements for stakeholder consultation and engagement. Further details of the legal and regulatory requirements that apply to the project are provided in Chapter 6 of this report.</w:t>
      </w:r>
    </w:p>
    <w:p w14:paraId="43262BEA">
      <w:pPr>
        <w:pStyle w:val="3"/>
        <w:spacing w:line="240" w:lineRule="auto"/>
        <w:rPr>
          <w:rFonts w:ascii="Times New Roman" w:hAnsi="Times New Roman" w:cs="Times New Roman"/>
          <w:sz w:val="24"/>
          <w:szCs w:val="24"/>
          <w:lang w:val="en-US"/>
        </w:rPr>
      </w:pPr>
      <w:bookmarkStart w:id="252" w:name="_Toc2603"/>
      <w:bookmarkStart w:id="253" w:name="_Toc220710812"/>
      <w:bookmarkStart w:id="254" w:name="_Toc17272"/>
      <w:bookmarkStart w:id="255" w:name="_Toc534803000"/>
      <w:bookmarkStart w:id="256" w:name="_Toc30862"/>
      <w:r>
        <w:rPr>
          <w:rFonts w:ascii="Times New Roman" w:hAnsi="Times New Roman" w:cs="Times New Roman"/>
          <w:sz w:val="24"/>
          <w:szCs w:val="24"/>
          <w:lang w:val="en-US"/>
        </w:rPr>
        <w:t>4.3</w:t>
      </w:r>
      <w:r>
        <w:rPr>
          <w:rFonts w:ascii="Times New Roman" w:hAnsi="Times New Roman" w:cs="Times New Roman"/>
          <w:sz w:val="24"/>
          <w:szCs w:val="24"/>
          <w:lang w:val="en-US"/>
        </w:rPr>
        <w:tab/>
      </w:r>
      <w:r>
        <w:rPr>
          <w:rFonts w:ascii="Times New Roman" w:hAnsi="Times New Roman" w:cs="Times New Roman"/>
          <w:sz w:val="24"/>
          <w:szCs w:val="24"/>
          <w:lang w:val="en-US"/>
        </w:rPr>
        <w:t>Public Participation Methodology</w:t>
      </w:r>
      <w:bookmarkEnd w:id="252"/>
      <w:bookmarkEnd w:id="253"/>
      <w:bookmarkEnd w:id="254"/>
      <w:bookmarkEnd w:id="255"/>
      <w:bookmarkEnd w:id="256"/>
    </w:p>
    <w:p w14:paraId="2A6F90AB">
      <w:pPr>
        <w:spacing w:line="240" w:lineRule="auto"/>
        <w:jc w:val="both"/>
        <w:rPr>
          <w:rFonts w:ascii="Times New Roman" w:hAnsi="Times New Roman"/>
          <w:szCs w:val="24"/>
        </w:rPr>
      </w:pPr>
      <w:r>
        <w:rPr>
          <w:rFonts w:ascii="Times New Roman" w:hAnsi="Times New Roman"/>
          <w:szCs w:val="24"/>
          <w:lang w:val="en-US"/>
        </w:rPr>
        <w:t>Public participation was mainly achieved through direct interviews, observations, questionnaire administration and a public meeting. The team began the public consultation process by holding preparatory meetings to strategize on how to engage the stakeholders in the ESIA process. This was done in consultation with KIMAWASCO</w:t>
      </w:r>
      <w:r>
        <w:rPr>
          <w:rFonts w:ascii="Times New Roman" w:hAnsi="Times New Roman"/>
          <w:szCs w:val="24"/>
        </w:rPr>
        <w:t>.</w:t>
      </w:r>
    </w:p>
    <w:p w14:paraId="150DBB34">
      <w:pPr>
        <w:pStyle w:val="4"/>
        <w:numPr>
          <w:ilvl w:val="1"/>
          <w:numId w:val="25"/>
        </w:numPr>
        <w:shd w:val="clear" w:color="auto" w:fill="auto"/>
        <w:spacing w:line="240" w:lineRule="auto"/>
        <w:rPr>
          <w:rFonts w:ascii="Times New Roman" w:hAnsi="Times New Roman"/>
          <w:b/>
          <w:bCs/>
          <w:lang w:val="en-US"/>
        </w:rPr>
      </w:pPr>
      <w:bookmarkStart w:id="257" w:name="_Toc192244260"/>
      <w:bookmarkEnd w:id="257"/>
      <w:bookmarkStart w:id="258" w:name="_Toc192244256"/>
      <w:bookmarkEnd w:id="258"/>
      <w:bookmarkStart w:id="259" w:name="_Toc192244252"/>
      <w:bookmarkEnd w:id="259"/>
      <w:bookmarkStart w:id="260" w:name="_Toc192243504"/>
      <w:bookmarkEnd w:id="260"/>
      <w:bookmarkStart w:id="261" w:name="_Toc192244255"/>
      <w:bookmarkEnd w:id="261"/>
      <w:bookmarkStart w:id="262" w:name="_Toc192242523"/>
      <w:bookmarkEnd w:id="262"/>
      <w:bookmarkStart w:id="263" w:name="_Toc192243515"/>
      <w:bookmarkEnd w:id="263"/>
      <w:bookmarkStart w:id="264" w:name="_Toc192242524"/>
      <w:bookmarkEnd w:id="264"/>
      <w:bookmarkStart w:id="265" w:name="_Toc192243517"/>
      <w:bookmarkEnd w:id="265"/>
      <w:bookmarkStart w:id="266" w:name="_Toc192243508"/>
      <w:bookmarkEnd w:id="266"/>
      <w:bookmarkStart w:id="267" w:name="_Toc192253581"/>
      <w:bookmarkEnd w:id="267"/>
      <w:bookmarkStart w:id="268" w:name="_Toc192243513"/>
      <w:bookmarkEnd w:id="268"/>
      <w:bookmarkStart w:id="269" w:name="_Toc192243518"/>
      <w:bookmarkEnd w:id="269"/>
      <w:bookmarkStart w:id="270" w:name="_Toc192253577"/>
      <w:bookmarkEnd w:id="270"/>
      <w:bookmarkStart w:id="271" w:name="_Toc192244261"/>
      <w:bookmarkEnd w:id="271"/>
      <w:bookmarkStart w:id="272" w:name="_Toc192242526"/>
      <w:bookmarkEnd w:id="272"/>
      <w:bookmarkStart w:id="273" w:name="_Toc192243512"/>
      <w:bookmarkEnd w:id="273"/>
      <w:bookmarkStart w:id="274" w:name="_Toc192242521"/>
      <w:bookmarkEnd w:id="274"/>
      <w:bookmarkStart w:id="275" w:name="_Toc192242535"/>
      <w:bookmarkEnd w:id="275"/>
      <w:bookmarkStart w:id="276" w:name="_Toc192243511"/>
      <w:bookmarkEnd w:id="276"/>
      <w:bookmarkStart w:id="277" w:name="_Toc192244253"/>
      <w:bookmarkEnd w:id="277"/>
      <w:bookmarkStart w:id="278" w:name="_Toc192253579"/>
      <w:bookmarkEnd w:id="278"/>
      <w:bookmarkStart w:id="279" w:name="_Toc192244258"/>
      <w:bookmarkEnd w:id="279"/>
      <w:bookmarkStart w:id="280" w:name="_Toc192242527"/>
      <w:bookmarkEnd w:id="280"/>
      <w:bookmarkStart w:id="281" w:name="_Toc192243506"/>
      <w:bookmarkEnd w:id="281"/>
      <w:bookmarkStart w:id="282" w:name="_Toc192253583"/>
      <w:bookmarkEnd w:id="282"/>
      <w:bookmarkStart w:id="283" w:name="_Toc192244250"/>
      <w:bookmarkEnd w:id="283"/>
      <w:bookmarkStart w:id="284" w:name="_Toc192253588"/>
      <w:bookmarkEnd w:id="284"/>
      <w:bookmarkStart w:id="285" w:name="_Toc192242528"/>
      <w:bookmarkEnd w:id="285"/>
      <w:bookmarkStart w:id="286" w:name="_Toc192242522"/>
      <w:bookmarkEnd w:id="286"/>
      <w:bookmarkStart w:id="287" w:name="_Toc192253582"/>
      <w:bookmarkEnd w:id="287"/>
      <w:bookmarkStart w:id="288" w:name="_Toc192243507"/>
      <w:bookmarkEnd w:id="288"/>
      <w:bookmarkStart w:id="289" w:name="_Toc192253575"/>
      <w:bookmarkEnd w:id="289"/>
      <w:bookmarkStart w:id="290" w:name="_Toc192253578"/>
      <w:bookmarkEnd w:id="290"/>
      <w:bookmarkStart w:id="291" w:name="_Toc192253580"/>
      <w:bookmarkEnd w:id="291"/>
      <w:bookmarkStart w:id="292" w:name="_Toc192253573"/>
      <w:bookmarkEnd w:id="292"/>
      <w:bookmarkStart w:id="293" w:name="_Toc192253574"/>
      <w:bookmarkEnd w:id="293"/>
      <w:bookmarkStart w:id="294" w:name="_Toc192242533"/>
      <w:bookmarkEnd w:id="294"/>
      <w:bookmarkStart w:id="295" w:name="_Toc192244247"/>
      <w:bookmarkEnd w:id="295"/>
      <w:bookmarkStart w:id="296" w:name="_Toc192242530"/>
      <w:bookmarkEnd w:id="296"/>
      <w:bookmarkStart w:id="297" w:name="_Toc192253586"/>
      <w:bookmarkEnd w:id="297"/>
      <w:bookmarkStart w:id="298" w:name="_Toc192243510"/>
      <w:bookmarkEnd w:id="298"/>
      <w:bookmarkStart w:id="299" w:name="_Toc192242519"/>
      <w:bookmarkEnd w:id="299"/>
      <w:bookmarkStart w:id="300" w:name="_Toc192244254"/>
      <w:bookmarkEnd w:id="300"/>
      <w:bookmarkStart w:id="301" w:name="_Toc192242531"/>
      <w:bookmarkEnd w:id="301"/>
      <w:bookmarkStart w:id="302" w:name="_Toc192243503"/>
      <w:bookmarkEnd w:id="302"/>
      <w:bookmarkStart w:id="303" w:name="_Toc192253572"/>
      <w:bookmarkEnd w:id="303"/>
      <w:bookmarkStart w:id="304" w:name="_Toc192243509"/>
      <w:bookmarkEnd w:id="304"/>
      <w:bookmarkStart w:id="305" w:name="_Toc192244248"/>
      <w:bookmarkEnd w:id="305"/>
      <w:bookmarkStart w:id="306" w:name="_Toc192244257"/>
      <w:bookmarkEnd w:id="306"/>
      <w:bookmarkStart w:id="307" w:name="_Toc192243502"/>
      <w:bookmarkEnd w:id="307"/>
      <w:bookmarkStart w:id="308" w:name="_Toc192242520"/>
      <w:bookmarkEnd w:id="308"/>
      <w:bookmarkStart w:id="309" w:name="_Toc192253587"/>
      <w:bookmarkEnd w:id="309"/>
      <w:bookmarkStart w:id="310" w:name="_Toc192242529"/>
      <w:bookmarkEnd w:id="310"/>
      <w:bookmarkStart w:id="311" w:name="_Toc192242534"/>
      <w:bookmarkEnd w:id="311"/>
      <w:bookmarkStart w:id="312" w:name="_Toc192242532"/>
      <w:bookmarkEnd w:id="312"/>
      <w:bookmarkStart w:id="313" w:name="_Toc192242525"/>
      <w:bookmarkEnd w:id="313"/>
      <w:bookmarkStart w:id="314" w:name="_Toc192244251"/>
      <w:bookmarkEnd w:id="314"/>
      <w:bookmarkStart w:id="315" w:name="_Toc192244262"/>
      <w:bookmarkEnd w:id="315"/>
      <w:bookmarkStart w:id="316" w:name="_Toc192244259"/>
      <w:bookmarkEnd w:id="316"/>
      <w:bookmarkStart w:id="317" w:name="_Toc192253584"/>
      <w:bookmarkEnd w:id="317"/>
      <w:bookmarkStart w:id="318" w:name="_Toc192253585"/>
      <w:bookmarkEnd w:id="318"/>
      <w:bookmarkStart w:id="319" w:name="_Toc192244249"/>
      <w:bookmarkEnd w:id="319"/>
      <w:bookmarkStart w:id="320" w:name="_Toc192243505"/>
      <w:bookmarkEnd w:id="320"/>
      <w:bookmarkStart w:id="321" w:name="_Toc192243514"/>
      <w:bookmarkEnd w:id="321"/>
      <w:bookmarkStart w:id="322" w:name="_Toc192243516"/>
      <w:bookmarkEnd w:id="322"/>
      <w:bookmarkStart w:id="323" w:name="_Toc192253576"/>
      <w:bookmarkEnd w:id="323"/>
      <w:bookmarkStart w:id="324" w:name="_Toc192244263"/>
      <w:bookmarkEnd w:id="324"/>
      <w:bookmarkStart w:id="325" w:name="_Toc30612"/>
      <w:bookmarkStart w:id="326" w:name="_Toc220710813"/>
      <w:bookmarkStart w:id="327" w:name="_Toc14892"/>
      <w:bookmarkStart w:id="328" w:name="_Toc534803002"/>
      <w:bookmarkStart w:id="329" w:name="_Toc11548"/>
      <w:r>
        <w:rPr>
          <w:rFonts w:ascii="Times New Roman" w:hAnsi="Times New Roman"/>
          <w:b/>
          <w:bCs/>
          <w:lang w:val="en-US"/>
        </w:rPr>
        <w:t>Questionnaire Administration</w:t>
      </w:r>
      <w:bookmarkEnd w:id="325"/>
      <w:bookmarkEnd w:id="326"/>
      <w:bookmarkEnd w:id="327"/>
      <w:bookmarkEnd w:id="328"/>
      <w:bookmarkEnd w:id="329"/>
    </w:p>
    <w:p w14:paraId="4AD36D84">
      <w:pPr>
        <w:spacing w:line="240" w:lineRule="auto"/>
        <w:jc w:val="both"/>
        <w:rPr>
          <w:rFonts w:ascii="Times New Roman" w:hAnsi="Times New Roman"/>
          <w:szCs w:val="24"/>
        </w:rPr>
      </w:pPr>
      <w:r>
        <w:rPr>
          <w:rFonts w:ascii="Times New Roman" w:hAnsi="Times New Roman"/>
          <w:szCs w:val="24"/>
        </w:rPr>
        <w:t>Questionnaires were prepared and administered to the staff and sampled households. The team then organized visits to meet the representatives of all the stakeholders identified, whom they met and spent considerable time with, and held discussions with them on their opinions about the proposed project.</w:t>
      </w:r>
    </w:p>
    <w:p w14:paraId="2C1D4090">
      <w:pPr>
        <w:pStyle w:val="4"/>
        <w:numPr>
          <w:ilvl w:val="1"/>
          <w:numId w:val="25"/>
        </w:numPr>
        <w:shd w:val="clear" w:color="auto" w:fill="auto"/>
        <w:spacing w:line="240" w:lineRule="auto"/>
        <w:rPr>
          <w:rFonts w:ascii="Times New Roman" w:hAnsi="Times New Roman"/>
          <w:b/>
          <w:bCs/>
        </w:rPr>
      </w:pPr>
      <w:bookmarkStart w:id="330" w:name="_Toc6308"/>
      <w:bookmarkStart w:id="331" w:name="_Toc220710814"/>
      <w:bookmarkStart w:id="332" w:name="_Toc29315"/>
      <w:bookmarkStart w:id="333" w:name="_Toc462"/>
      <w:r>
        <w:rPr>
          <w:rFonts w:ascii="Times New Roman" w:hAnsi="Times New Roman"/>
          <w:b/>
          <w:bCs/>
        </w:rPr>
        <w:t>Public Participation Meetings</w:t>
      </w:r>
      <w:bookmarkEnd w:id="330"/>
      <w:bookmarkEnd w:id="331"/>
      <w:bookmarkEnd w:id="332"/>
      <w:bookmarkEnd w:id="333"/>
    </w:p>
    <w:p w14:paraId="7942A575">
      <w:pPr>
        <w:spacing w:line="240" w:lineRule="auto"/>
        <w:jc w:val="both"/>
        <w:rPr>
          <w:rFonts w:ascii="Times New Roman" w:hAnsi="Times New Roman"/>
          <w:szCs w:val="24"/>
          <w:lang w:val="en-US"/>
        </w:rPr>
      </w:pPr>
      <w:r>
        <w:rPr>
          <w:rFonts w:ascii="Times New Roman" w:hAnsi="Times New Roman"/>
          <w:szCs w:val="24"/>
          <w:lang w:val="en-US"/>
        </w:rPr>
        <w:t xml:space="preserve">A Public Participation meeting was conducted on </w:t>
      </w:r>
      <w:r>
        <w:rPr>
          <w:rFonts w:ascii="Times New Roman" w:hAnsi="Times New Roman"/>
          <w:szCs w:val="24"/>
        </w:rPr>
        <w:t>5</w:t>
      </w:r>
      <w:r>
        <w:rPr>
          <w:rFonts w:ascii="Times New Roman" w:hAnsi="Times New Roman"/>
          <w:szCs w:val="24"/>
          <w:vertAlign w:val="superscript"/>
        </w:rPr>
        <w:t>th</w:t>
      </w:r>
      <w:r>
        <w:rPr>
          <w:rFonts w:ascii="Times New Roman" w:hAnsi="Times New Roman"/>
          <w:szCs w:val="24"/>
        </w:rPr>
        <w:t xml:space="preserve"> December</w:t>
      </w:r>
      <w:r>
        <w:rPr>
          <w:rFonts w:ascii="Times New Roman" w:hAnsi="Times New Roman"/>
          <w:szCs w:val="24"/>
          <w:lang w:val="en-US"/>
        </w:rPr>
        <w:t>, 2025 at the proposed project site</w:t>
      </w:r>
      <w:r>
        <w:rPr>
          <w:rFonts w:ascii="Times New Roman" w:hAnsi="Times New Roman"/>
          <w:szCs w:val="24"/>
        </w:rPr>
        <w:t xml:space="preserve"> to</w:t>
      </w:r>
      <w:r>
        <w:rPr>
          <w:rFonts w:ascii="Times New Roman" w:hAnsi="Times New Roman"/>
          <w:szCs w:val="24"/>
          <w:lang w:val="en-US"/>
        </w:rPr>
        <w:t>:</w:t>
      </w:r>
    </w:p>
    <w:p w14:paraId="0CD26ED8">
      <w:pPr>
        <w:numPr>
          <w:ilvl w:val="0"/>
          <w:numId w:val="27"/>
        </w:numPr>
        <w:spacing w:line="240" w:lineRule="auto"/>
        <w:jc w:val="both"/>
        <w:rPr>
          <w:rFonts w:ascii="Times New Roman" w:hAnsi="Times New Roman"/>
          <w:szCs w:val="24"/>
          <w:lang w:val="en-US"/>
        </w:rPr>
      </w:pPr>
      <w:r>
        <w:rPr>
          <w:rFonts w:ascii="Times New Roman" w:hAnsi="Times New Roman"/>
          <w:szCs w:val="24"/>
          <w:lang w:val="en-US"/>
        </w:rPr>
        <w:t xml:space="preserve">Establish different values or perspectives within a community on an issue; and </w:t>
      </w:r>
    </w:p>
    <w:p w14:paraId="7FF31953">
      <w:pPr>
        <w:numPr>
          <w:ilvl w:val="0"/>
          <w:numId w:val="27"/>
        </w:numPr>
        <w:spacing w:line="240" w:lineRule="auto"/>
        <w:jc w:val="both"/>
        <w:rPr>
          <w:rFonts w:ascii="Times New Roman" w:hAnsi="Times New Roman"/>
          <w:szCs w:val="24"/>
          <w:lang w:val="en-US"/>
        </w:rPr>
      </w:pPr>
      <w:r>
        <w:rPr>
          <w:rFonts w:ascii="Times New Roman" w:hAnsi="Times New Roman"/>
          <w:szCs w:val="24"/>
          <w:lang w:val="en-US"/>
        </w:rPr>
        <w:t>Provide information and an opportunity for key stakeholders to ask questions.</w:t>
      </w:r>
    </w:p>
    <w:p w14:paraId="2C1F8295">
      <w:pPr>
        <w:numPr>
          <w:ilvl w:val="0"/>
          <w:numId w:val="27"/>
        </w:numPr>
        <w:spacing w:line="240" w:lineRule="auto"/>
        <w:jc w:val="both"/>
        <w:rPr>
          <w:rFonts w:ascii="Times New Roman" w:hAnsi="Times New Roman"/>
          <w:szCs w:val="24"/>
          <w:lang w:val="en-US"/>
        </w:rPr>
      </w:pPr>
      <w:r>
        <w:rPr>
          <w:rFonts w:ascii="Times New Roman" w:hAnsi="Times New Roman"/>
          <w:szCs w:val="24"/>
          <w:lang w:val="en-US"/>
        </w:rPr>
        <w:t xml:space="preserve">Establish a </w:t>
      </w:r>
      <w:r>
        <w:rPr>
          <w:rFonts w:ascii="Times New Roman" w:hAnsi="Times New Roman"/>
          <w:szCs w:val="24"/>
          <w:highlight w:val="yellow"/>
          <w:lang w:val="en-US"/>
        </w:rPr>
        <w:t xml:space="preserve">grievance redress committee </w:t>
      </w:r>
    </w:p>
    <w:p w14:paraId="4FE16AAA">
      <w:pPr>
        <w:spacing w:line="240" w:lineRule="auto"/>
        <w:jc w:val="both"/>
        <w:rPr>
          <w:rFonts w:ascii="Times New Roman" w:hAnsi="Times New Roman"/>
          <w:b/>
          <w:bCs/>
          <w:i/>
          <w:iCs/>
          <w:szCs w:val="24"/>
          <w:lang w:val="en-US"/>
        </w:rPr>
      </w:pPr>
      <w:r>
        <w:rPr>
          <w:rFonts w:ascii="Times New Roman" w:hAnsi="Times New Roman"/>
          <w:szCs w:val="24"/>
          <w:lang w:val="en-US"/>
        </w:rPr>
        <w:t xml:space="preserve">The stakeholders provided their opinion on the project and there was a consensus that implementation of the project would be beneficial to the Head Office providing adequate sanitation facilities for both staff and customers that were urgently needed. </w:t>
      </w:r>
    </w:p>
    <w:p w14:paraId="15C5E21D">
      <w:pPr>
        <w:pStyle w:val="5"/>
        <w:spacing w:line="240" w:lineRule="auto"/>
      </w:pPr>
      <w:r>
        <w:t>Issues Discussed During the Public Participation Meetings</w:t>
      </w:r>
    </w:p>
    <w:p w14:paraId="63802AA8">
      <w:pPr>
        <w:pStyle w:val="32"/>
        <w:numPr>
          <w:ilvl w:val="1"/>
          <w:numId w:val="28"/>
        </w:numPr>
        <w:spacing w:line="240" w:lineRule="auto"/>
        <w:jc w:val="both"/>
        <w:rPr>
          <w:rFonts w:ascii="Times New Roman" w:hAnsi="Times New Roman"/>
          <w:szCs w:val="24"/>
        </w:rPr>
      </w:pPr>
      <w:r>
        <w:rPr>
          <w:rFonts w:ascii="Times New Roman" w:hAnsi="Times New Roman"/>
          <w:szCs w:val="24"/>
        </w:rPr>
        <w:t>Acceptance of the Project</w:t>
      </w:r>
    </w:p>
    <w:p w14:paraId="46F14ABE">
      <w:pPr>
        <w:spacing w:line="240" w:lineRule="auto"/>
        <w:jc w:val="both"/>
        <w:rPr>
          <w:rFonts w:ascii="Times New Roman" w:hAnsi="Times New Roman"/>
          <w:szCs w:val="24"/>
        </w:rPr>
      </w:pPr>
      <w:r>
        <w:rPr>
          <w:rFonts w:ascii="Times New Roman" w:hAnsi="Times New Roman"/>
          <w:szCs w:val="24"/>
        </w:rPr>
        <w:t>The public was generally in favour of the sanitation measures to be implemented in the project.  Most viewed the proposed measures positively, saying that the measures would make great strides in improving the sanitation situation in the KIMAWASCO Head office.</w:t>
      </w:r>
    </w:p>
    <w:p w14:paraId="31CD4174">
      <w:pPr>
        <w:pStyle w:val="32"/>
        <w:numPr>
          <w:ilvl w:val="1"/>
          <w:numId w:val="28"/>
        </w:numPr>
        <w:spacing w:line="240" w:lineRule="auto"/>
        <w:jc w:val="both"/>
        <w:rPr>
          <w:rFonts w:ascii="Times New Roman" w:hAnsi="Times New Roman"/>
          <w:szCs w:val="24"/>
        </w:rPr>
      </w:pPr>
      <w:r>
        <w:rPr>
          <w:rFonts w:ascii="Times New Roman" w:hAnsi="Times New Roman"/>
          <w:szCs w:val="24"/>
        </w:rPr>
        <w:t>Availability of water</w:t>
      </w:r>
    </w:p>
    <w:p w14:paraId="2A54BE3B">
      <w:pPr>
        <w:spacing w:line="240" w:lineRule="auto"/>
        <w:jc w:val="both"/>
        <w:rPr>
          <w:rFonts w:ascii="Times New Roman" w:hAnsi="Times New Roman"/>
          <w:szCs w:val="24"/>
        </w:rPr>
      </w:pPr>
      <w:r>
        <w:rPr>
          <w:rFonts w:ascii="Times New Roman" w:hAnsi="Times New Roman"/>
          <w:szCs w:val="24"/>
        </w:rPr>
        <w:t>Concerns were raised that the water rationing would negatively impact the operation of the ablution block. Locals wanted assurance that once the block was completed, the water rationing they were currently experiencing would not continue.  KIMWASCO representatives informed the attendants to the meeting that the water problem was being resolved with connections being made to new water sources and expansions being made to existing sources with the water supply project running concurrently with the ablution block project.</w:t>
      </w:r>
    </w:p>
    <w:p w14:paraId="1012B507">
      <w:pPr>
        <w:pStyle w:val="32"/>
        <w:numPr>
          <w:ilvl w:val="1"/>
          <w:numId w:val="28"/>
        </w:numPr>
        <w:spacing w:line="240" w:lineRule="auto"/>
        <w:jc w:val="both"/>
        <w:rPr>
          <w:rFonts w:ascii="Times New Roman" w:hAnsi="Times New Roman"/>
          <w:szCs w:val="24"/>
        </w:rPr>
      </w:pPr>
      <w:r>
        <w:rPr>
          <w:rFonts w:ascii="Times New Roman" w:hAnsi="Times New Roman"/>
          <w:szCs w:val="24"/>
        </w:rPr>
        <w:t>The unsuitability of the English type toilets.</w:t>
      </w:r>
    </w:p>
    <w:p w14:paraId="38B78DFB">
      <w:pPr>
        <w:spacing w:line="240" w:lineRule="auto"/>
        <w:jc w:val="both"/>
        <w:rPr>
          <w:rFonts w:ascii="Times New Roman" w:hAnsi="Times New Roman"/>
          <w:szCs w:val="24"/>
        </w:rPr>
      </w:pPr>
      <w:r>
        <w:rPr>
          <w:rFonts w:ascii="Times New Roman" w:hAnsi="Times New Roman"/>
          <w:szCs w:val="24"/>
        </w:rPr>
        <w:t xml:space="preserve">Locals attending the meetings informed the expert that English type toilets would not be suitable for ablution block. This is because the large volume of people would make seat type toilets difficult to clean and maintain. They proposed that only the toilets for the disabled be English type and the remaining two be Indian type toilets. </w:t>
      </w:r>
    </w:p>
    <w:p w14:paraId="74CEB81D">
      <w:pPr>
        <w:pStyle w:val="32"/>
        <w:numPr>
          <w:ilvl w:val="1"/>
          <w:numId w:val="28"/>
        </w:numPr>
        <w:spacing w:line="240" w:lineRule="auto"/>
        <w:jc w:val="both"/>
        <w:rPr>
          <w:rFonts w:ascii="Times New Roman" w:hAnsi="Times New Roman"/>
          <w:szCs w:val="24"/>
        </w:rPr>
      </w:pPr>
      <w:r>
        <w:rPr>
          <w:rFonts w:ascii="Times New Roman" w:hAnsi="Times New Roman"/>
          <w:szCs w:val="24"/>
        </w:rPr>
        <w:t>Work and employment for the locals</w:t>
      </w:r>
    </w:p>
    <w:p w14:paraId="397A19E3">
      <w:pPr>
        <w:spacing w:line="240" w:lineRule="auto"/>
        <w:jc w:val="both"/>
        <w:rPr>
          <w:rFonts w:ascii="Times New Roman" w:hAnsi="Times New Roman"/>
          <w:szCs w:val="24"/>
        </w:rPr>
      </w:pPr>
      <w:r>
        <w:rPr>
          <w:rFonts w:ascii="Times New Roman" w:hAnsi="Times New Roman"/>
          <w:szCs w:val="24"/>
        </w:rPr>
        <w:t>The proposed project will present many employment opportunities both during construction and operation phases and the community members proposed that people from the households within the affected area should be given priority during recruitment. It was made clear that non-technical work would be given to the locals as a way of empowering them as it will increase the income potential of the people within the project area.</w:t>
      </w:r>
    </w:p>
    <w:p w14:paraId="1C3FDBEE">
      <w:pPr>
        <w:pStyle w:val="3"/>
        <w:spacing w:line="240" w:lineRule="auto"/>
        <w:rPr>
          <w:rFonts w:ascii="Times New Roman" w:hAnsi="Times New Roman" w:cs="Times New Roman"/>
          <w:sz w:val="24"/>
          <w:szCs w:val="24"/>
        </w:rPr>
      </w:pPr>
      <w:bookmarkStart w:id="334" w:name="_Toc9970"/>
      <w:bookmarkStart w:id="335" w:name="_Toc220710815"/>
      <w:bookmarkStart w:id="336" w:name="_Toc501614330"/>
      <w:bookmarkStart w:id="337" w:name="_Toc534803009"/>
      <w:bookmarkStart w:id="338" w:name="_Toc12019"/>
      <w:bookmarkStart w:id="339" w:name="_Toc497465695"/>
      <w:bookmarkStart w:id="340" w:name="_Toc11"/>
      <w:r>
        <w:rPr>
          <w:rFonts w:ascii="Times New Roman" w:hAnsi="Times New Roman" w:cs="Times New Roman"/>
          <w:sz w:val="24"/>
          <w:szCs w:val="24"/>
        </w:rPr>
        <w:t>Consultation During Project Duration</w:t>
      </w:r>
      <w:bookmarkEnd w:id="334"/>
      <w:bookmarkEnd w:id="335"/>
      <w:bookmarkEnd w:id="336"/>
      <w:bookmarkEnd w:id="337"/>
      <w:bookmarkEnd w:id="338"/>
      <w:bookmarkEnd w:id="339"/>
      <w:bookmarkEnd w:id="340"/>
    </w:p>
    <w:p w14:paraId="58E4F15B">
      <w:pPr>
        <w:spacing w:after="120" w:line="240" w:lineRule="auto"/>
        <w:jc w:val="both"/>
        <w:rPr>
          <w:rFonts w:ascii="Times New Roman" w:hAnsi="Times New Roman"/>
          <w:szCs w:val="24"/>
        </w:rPr>
      </w:pPr>
      <w:r>
        <w:rPr>
          <w:rFonts w:ascii="Times New Roman" w:hAnsi="Times New Roman"/>
          <w:szCs w:val="24"/>
        </w:rPr>
        <w:t xml:space="preserve">Continuous consultation should be carried out throughout the construction phase of the project using focus group discussions to ensure interested stakeholders are aware of construction procedures and provide a forum for feedback and recommendations for implementation in the construction. </w:t>
      </w:r>
    </w:p>
    <w:p w14:paraId="620C1D3A">
      <w:pPr>
        <w:spacing w:after="120" w:line="240" w:lineRule="auto"/>
        <w:jc w:val="both"/>
        <w:rPr>
          <w:rFonts w:ascii="Times New Roman" w:hAnsi="Times New Roman"/>
          <w:szCs w:val="24"/>
        </w:rPr>
      </w:pPr>
      <w:r>
        <w:rPr>
          <w:rFonts w:ascii="Times New Roman" w:hAnsi="Times New Roman"/>
          <w:szCs w:val="24"/>
        </w:rPr>
        <w:t>Interested stakeholders and the recommended means of communicating with them is summarised in the table below.</w:t>
      </w:r>
    </w:p>
    <w:p w14:paraId="05CA2CDD">
      <w:pPr>
        <w:pStyle w:val="10"/>
        <w:keepNext/>
        <w:rPr>
          <w:rFonts w:ascii="Times New Roman" w:hAnsi="Times New Roman"/>
          <w:i w:val="0"/>
          <w:iCs w:val="0"/>
          <w:color w:val="auto"/>
        </w:rPr>
      </w:pPr>
      <w:bookmarkStart w:id="341" w:name="_Toc534803149"/>
      <w:bookmarkStart w:id="342" w:name="_Toc224740300"/>
      <w:r>
        <w:rPr>
          <w:rFonts w:ascii="Times New Roman" w:hAnsi="Times New Roman"/>
          <w:color w:val="auto"/>
        </w:rPr>
        <w:t xml:space="preserve">Table </w:t>
      </w:r>
      <w:r>
        <w:rPr>
          <w:rFonts w:ascii="Times New Roman" w:hAnsi="Times New Roman"/>
          <w:color w:val="auto"/>
        </w:rPr>
        <w:fldChar w:fldCharType="begin"/>
      </w:r>
      <w:r>
        <w:rPr>
          <w:rFonts w:ascii="Times New Roman" w:hAnsi="Times New Roman"/>
          <w:color w:val="auto"/>
        </w:rPr>
        <w:instrText xml:space="preserve"> SEQ Table \* ARABIC </w:instrText>
      </w:r>
      <w:r>
        <w:rPr>
          <w:rFonts w:ascii="Times New Roman" w:hAnsi="Times New Roman"/>
          <w:color w:val="auto"/>
        </w:rPr>
        <w:fldChar w:fldCharType="separate"/>
      </w:r>
      <w:r>
        <w:rPr>
          <w:rFonts w:ascii="Times New Roman" w:hAnsi="Times New Roman"/>
          <w:color w:val="auto"/>
        </w:rPr>
        <w:t>5</w:t>
      </w:r>
      <w:r>
        <w:rPr>
          <w:rFonts w:ascii="Times New Roman" w:hAnsi="Times New Roman"/>
          <w:color w:val="auto"/>
        </w:rPr>
        <w:fldChar w:fldCharType="end"/>
      </w:r>
      <w:bookmarkStart w:id="343" w:name="_Toc14514"/>
      <w:r>
        <w:rPr>
          <w:rFonts w:ascii="Times New Roman" w:hAnsi="Times New Roman"/>
          <w:color w:val="auto"/>
        </w:rPr>
        <w:t xml:space="preserve">  : Means of Communication with Internal Stakeholders</w:t>
      </w:r>
      <w:bookmarkEnd w:id="341"/>
      <w:bookmarkEnd w:id="342"/>
      <w:bookmarkEnd w:id="343"/>
    </w:p>
    <w:tbl>
      <w:tblPr>
        <w:tblStyle w:val="34"/>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2515"/>
        <w:gridCol w:w="1620"/>
        <w:gridCol w:w="2165"/>
      </w:tblGrid>
      <w:tr w14:paraId="6B9F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exact"/>
          <w:jc w:val="center"/>
        </w:trPr>
        <w:tc>
          <w:tcPr>
            <w:tcW w:w="8640" w:type="dxa"/>
            <w:gridSpan w:val="4"/>
            <w:shd w:val="clear" w:color="auto" w:fill="BFBFBF"/>
          </w:tcPr>
          <w:p w14:paraId="3827D840">
            <w:pPr>
              <w:widowControl w:val="0"/>
              <w:autoSpaceDE w:val="0"/>
              <w:autoSpaceDN w:val="0"/>
              <w:adjustRightInd w:val="0"/>
              <w:spacing w:after="0" w:line="240" w:lineRule="auto"/>
              <w:ind w:left="102"/>
              <w:jc w:val="center"/>
              <w:rPr>
                <w:rFonts w:ascii="Times New Roman" w:hAnsi="Times New Roman" w:eastAsia="PMingLiU"/>
                <w:szCs w:val="24"/>
                <w:lang w:val="en-US" w:eastAsia="zh-TW"/>
              </w:rPr>
            </w:pPr>
            <w:r>
              <w:rPr>
                <w:rFonts w:ascii="Times New Roman" w:hAnsi="Times New Roman" w:eastAsia="PMingLiU"/>
                <w:b/>
                <w:bCs/>
                <w:i/>
                <w:iCs/>
                <w:szCs w:val="24"/>
                <w:lang w:val="en-US" w:eastAsia="zh-TW"/>
              </w:rPr>
              <w:t>Internal Stakeholders</w:t>
            </w:r>
          </w:p>
        </w:tc>
      </w:tr>
      <w:tr w14:paraId="0A1F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exact"/>
          <w:jc w:val="center"/>
        </w:trPr>
        <w:tc>
          <w:tcPr>
            <w:tcW w:w="2340" w:type="dxa"/>
          </w:tcPr>
          <w:p w14:paraId="71FCFAAB">
            <w:pPr>
              <w:widowControl w:val="0"/>
              <w:autoSpaceDE w:val="0"/>
              <w:autoSpaceDN w:val="0"/>
              <w:adjustRightInd w:val="0"/>
              <w:spacing w:before="1" w:after="0" w:line="240" w:lineRule="auto"/>
              <w:ind w:left="102"/>
              <w:rPr>
                <w:rFonts w:ascii="Times New Roman" w:hAnsi="Times New Roman" w:eastAsia="PMingLiU"/>
                <w:szCs w:val="24"/>
                <w:lang w:val="en-US" w:eastAsia="zh-TW"/>
              </w:rPr>
            </w:pPr>
            <w:r>
              <w:rPr>
                <w:rFonts w:ascii="Times New Roman" w:hAnsi="Times New Roman" w:eastAsia="PMingLiU"/>
                <w:spacing w:val="-3"/>
                <w:szCs w:val="24"/>
                <w:lang w:val="en-US" w:eastAsia="zh-TW"/>
              </w:rPr>
              <w:t>E</w:t>
            </w:r>
            <w:r>
              <w:rPr>
                <w:rFonts w:ascii="Times New Roman" w:hAnsi="Times New Roman" w:eastAsia="PMingLiU"/>
                <w:spacing w:val="4"/>
                <w:szCs w:val="24"/>
                <w:lang w:val="en-US" w:eastAsia="zh-TW"/>
              </w:rPr>
              <w:t>m</w:t>
            </w:r>
            <w:r>
              <w:rPr>
                <w:rFonts w:ascii="Times New Roman" w:hAnsi="Times New Roman" w:eastAsia="PMingLiU"/>
                <w:szCs w:val="24"/>
                <w:lang w:val="en-US" w:eastAsia="zh-TW"/>
              </w:rPr>
              <w:t>p</w:t>
            </w:r>
            <w:r>
              <w:rPr>
                <w:rFonts w:ascii="Times New Roman" w:hAnsi="Times New Roman" w:eastAsia="PMingLiU"/>
                <w:spacing w:val="-1"/>
                <w:szCs w:val="24"/>
                <w:lang w:val="en-US" w:eastAsia="zh-TW"/>
              </w:rPr>
              <w:t>l</w:t>
            </w:r>
            <w:r>
              <w:rPr>
                <w:rFonts w:ascii="Times New Roman" w:hAnsi="Times New Roman" w:eastAsia="PMingLiU"/>
                <w:spacing w:val="2"/>
                <w:szCs w:val="24"/>
                <w:lang w:val="en-US" w:eastAsia="zh-TW"/>
              </w:rPr>
              <w:t>o</w:t>
            </w:r>
            <w:r>
              <w:rPr>
                <w:rFonts w:ascii="Times New Roman" w:hAnsi="Times New Roman" w:eastAsia="PMingLiU"/>
                <w:spacing w:val="-4"/>
                <w:szCs w:val="24"/>
                <w:lang w:val="en-US" w:eastAsia="zh-TW"/>
              </w:rPr>
              <w:t>y</w:t>
            </w:r>
            <w:r>
              <w:rPr>
                <w:rFonts w:ascii="Times New Roman" w:hAnsi="Times New Roman" w:eastAsia="PMingLiU"/>
                <w:szCs w:val="24"/>
                <w:lang w:val="en-US" w:eastAsia="zh-TW"/>
              </w:rPr>
              <w:t>e</w:t>
            </w:r>
            <w:r>
              <w:rPr>
                <w:rFonts w:ascii="Times New Roman" w:hAnsi="Times New Roman" w:eastAsia="PMingLiU"/>
                <w:spacing w:val="-1"/>
                <w:szCs w:val="24"/>
                <w:lang w:val="en-US" w:eastAsia="zh-TW"/>
              </w:rPr>
              <w:t>e</w:t>
            </w:r>
            <w:r>
              <w:rPr>
                <w:rFonts w:ascii="Times New Roman" w:hAnsi="Times New Roman" w:eastAsia="PMingLiU"/>
                <w:szCs w:val="24"/>
                <w:lang w:val="en-US" w:eastAsia="zh-TW"/>
              </w:rPr>
              <w:t>s (Contractor,)</w:t>
            </w:r>
          </w:p>
        </w:tc>
        <w:tc>
          <w:tcPr>
            <w:tcW w:w="2515" w:type="dxa"/>
          </w:tcPr>
          <w:p w14:paraId="112974E0">
            <w:pPr>
              <w:widowControl w:val="0"/>
              <w:autoSpaceDE w:val="0"/>
              <w:autoSpaceDN w:val="0"/>
              <w:adjustRightInd w:val="0"/>
              <w:spacing w:before="1" w:after="0" w:line="240" w:lineRule="auto"/>
              <w:ind w:left="102" w:right="540"/>
              <w:rPr>
                <w:rFonts w:ascii="Times New Roman" w:hAnsi="Times New Roman" w:eastAsia="PMingLiU"/>
                <w:szCs w:val="24"/>
                <w:lang w:val="en-US" w:eastAsia="zh-TW"/>
              </w:rPr>
            </w:pPr>
            <w:r>
              <w:rPr>
                <w:rFonts w:ascii="Times New Roman" w:hAnsi="Times New Roman" w:eastAsia="PMingLiU"/>
                <w:spacing w:val="-1"/>
                <w:szCs w:val="24"/>
                <w:lang w:val="en-US" w:eastAsia="zh-TW"/>
              </w:rPr>
              <w:t xml:space="preserve">Notice boards, email, Grievance Redress Mechanism, meetings </w:t>
            </w:r>
          </w:p>
        </w:tc>
        <w:tc>
          <w:tcPr>
            <w:tcW w:w="1620" w:type="dxa"/>
          </w:tcPr>
          <w:p w14:paraId="7E756780">
            <w:pPr>
              <w:widowControl w:val="0"/>
              <w:tabs>
                <w:tab w:val="left" w:pos="1350"/>
              </w:tabs>
              <w:autoSpaceDE w:val="0"/>
              <w:autoSpaceDN w:val="0"/>
              <w:adjustRightInd w:val="0"/>
              <w:spacing w:before="1" w:after="0" w:line="240" w:lineRule="auto"/>
              <w:ind w:left="-18" w:right="80"/>
              <w:rPr>
                <w:rFonts w:ascii="Times New Roman" w:hAnsi="Times New Roman" w:eastAsia="PMingLiU"/>
                <w:szCs w:val="24"/>
                <w:lang w:val="en-US" w:eastAsia="zh-TW"/>
              </w:rPr>
            </w:pPr>
            <w:r>
              <w:rPr>
                <w:rFonts w:ascii="Times New Roman" w:hAnsi="Times New Roman" w:eastAsia="PMingLiU"/>
                <w:spacing w:val="6"/>
                <w:szCs w:val="24"/>
                <w:lang w:val="en-US" w:eastAsia="zh-TW"/>
              </w:rPr>
              <w:t xml:space="preserve">Contractor </w:t>
            </w:r>
          </w:p>
        </w:tc>
        <w:tc>
          <w:tcPr>
            <w:tcW w:w="2165" w:type="dxa"/>
          </w:tcPr>
          <w:p w14:paraId="79108731">
            <w:pPr>
              <w:widowControl w:val="0"/>
              <w:autoSpaceDE w:val="0"/>
              <w:autoSpaceDN w:val="0"/>
              <w:adjustRightInd w:val="0"/>
              <w:spacing w:before="1" w:after="0" w:line="240" w:lineRule="auto"/>
              <w:ind w:left="102" w:right="199"/>
              <w:jc w:val="both"/>
              <w:rPr>
                <w:rFonts w:ascii="Times New Roman" w:hAnsi="Times New Roman" w:eastAsia="PMingLiU"/>
                <w:szCs w:val="24"/>
                <w:lang w:val="en-US" w:eastAsia="zh-TW"/>
              </w:rPr>
            </w:pPr>
            <w:r>
              <w:rPr>
                <w:rFonts w:ascii="Times New Roman" w:hAnsi="Times New Roman" w:eastAsia="PMingLiU"/>
                <w:spacing w:val="3"/>
                <w:szCs w:val="24"/>
                <w:lang w:val="en-US" w:eastAsia="zh-TW"/>
              </w:rPr>
              <w:t>Throughout the project implementation phase</w:t>
            </w:r>
          </w:p>
        </w:tc>
      </w:tr>
      <w:tr w14:paraId="6800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exact"/>
          <w:jc w:val="center"/>
        </w:trPr>
        <w:tc>
          <w:tcPr>
            <w:tcW w:w="2340" w:type="dxa"/>
          </w:tcPr>
          <w:p w14:paraId="70B2F448">
            <w:pPr>
              <w:widowControl w:val="0"/>
              <w:autoSpaceDE w:val="0"/>
              <w:autoSpaceDN w:val="0"/>
              <w:adjustRightInd w:val="0"/>
              <w:spacing w:after="0" w:line="240" w:lineRule="auto"/>
              <w:ind w:left="102"/>
              <w:rPr>
                <w:rFonts w:ascii="Times New Roman" w:hAnsi="Times New Roman" w:eastAsia="PMingLiU"/>
                <w:szCs w:val="24"/>
                <w:lang w:val="en-US" w:eastAsia="zh-TW"/>
              </w:rPr>
            </w:pPr>
            <w:r>
              <w:rPr>
                <w:rFonts w:ascii="Times New Roman" w:hAnsi="Times New Roman" w:eastAsia="PMingLiU"/>
                <w:spacing w:val="3"/>
                <w:szCs w:val="24"/>
                <w:lang w:val="en-US" w:eastAsia="zh-TW"/>
              </w:rPr>
              <w:t>Casual workers and temporary staff</w:t>
            </w:r>
          </w:p>
        </w:tc>
        <w:tc>
          <w:tcPr>
            <w:tcW w:w="2515" w:type="dxa"/>
          </w:tcPr>
          <w:p w14:paraId="1C5259E8">
            <w:pPr>
              <w:widowControl w:val="0"/>
              <w:autoSpaceDE w:val="0"/>
              <w:autoSpaceDN w:val="0"/>
              <w:adjustRightInd w:val="0"/>
              <w:spacing w:before="1" w:after="0" w:line="240" w:lineRule="auto"/>
              <w:ind w:left="102" w:right="485"/>
              <w:rPr>
                <w:rFonts w:ascii="Times New Roman" w:hAnsi="Times New Roman" w:eastAsia="PMingLiU"/>
                <w:szCs w:val="24"/>
                <w:lang w:val="en-US" w:eastAsia="zh-TW"/>
              </w:rPr>
            </w:pPr>
            <w:r>
              <w:rPr>
                <w:rFonts w:ascii="Times New Roman" w:hAnsi="Times New Roman" w:eastAsia="PMingLiU"/>
                <w:spacing w:val="-1"/>
                <w:szCs w:val="24"/>
                <w:lang w:val="en-US" w:eastAsia="zh-TW"/>
              </w:rPr>
              <w:t>Notice boards, email, Grievance Redress Mechanism, meetings</w:t>
            </w:r>
          </w:p>
        </w:tc>
        <w:tc>
          <w:tcPr>
            <w:tcW w:w="1620" w:type="dxa"/>
          </w:tcPr>
          <w:p w14:paraId="1E4FD48D">
            <w:pPr>
              <w:widowControl w:val="0"/>
              <w:autoSpaceDE w:val="0"/>
              <w:autoSpaceDN w:val="0"/>
              <w:adjustRightInd w:val="0"/>
              <w:spacing w:before="3" w:after="0" w:line="240" w:lineRule="auto"/>
              <w:ind w:left="-18"/>
              <w:rPr>
                <w:rFonts w:ascii="Times New Roman" w:hAnsi="Times New Roman" w:eastAsia="PMingLiU"/>
                <w:szCs w:val="24"/>
                <w:lang w:val="en-US" w:eastAsia="zh-TW"/>
              </w:rPr>
            </w:pPr>
            <w:r>
              <w:rPr>
                <w:rFonts w:ascii="Times New Roman" w:hAnsi="Times New Roman" w:eastAsia="PMingLiU"/>
                <w:spacing w:val="6"/>
                <w:szCs w:val="24"/>
                <w:lang w:val="en-US" w:eastAsia="zh-TW"/>
              </w:rPr>
              <w:t>Contractor</w:t>
            </w:r>
          </w:p>
        </w:tc>
        <w:tc>
          <w:tcPr>
            <w:tcW w:w="2165" w:type="dxa"/>
          </w:tcPr>
          <w:p w14:paraId="7799F2B2">
            <w:pPr>
              <w:widowControl w:val="0"/>
              <w:autoSpaceDE w:val="0"/>
              <w:autoSpaceDN w:val="0"/>
              <w:adjustRightInd w:val="0"/>
              <w:spacing w:before="1" w:after="0" w:line="240" w:lineRule="auto"/>
              <w:ind w:left="102" w:right="246"/>
              <w:rPr>
                <w:rFonts w:ascii="Times New Roman" w:hAnsi="Times New Roman" w:eastAsia="PMingLiU"/>
                <w:szCs w:val="24"/>
                <w:lang w:val="en-US" w:eastAsia="zh-TW"/>
              </w:rPr>
            </w:pPr>
            <w:r>
              <w:rPr>
                <w:rFonts w:ascii="Times New Roman" w:hAnsi="Times New Roman" w:eastAsia="PMingLiU"/>
                <w:spacing w:val="3"/>
                <w:szCs w:val="24"/>
                <w:lang w:val="en-US" w:eastAsia="zh-TW"/>
              </w:rPr>
              <w:t>Throughout the project implementation phase</w:t>
            </w:r>
          </w:p>
        </w:tc>
      </w:tr>
    </w:tbl>
    <w:p w14:paraId="789A608C">
      <w:pPr>
        <w:spacing w:after="120" w:line="240" w:lineRule="auto"/>
        <w:jc w:val="both"/>
        <w:rPr>
          <w:rFonts w:ascii="Times New Roman" w:hAnsi="Times New Roman"/>
          <w:szCs w:val="24"/>
        </w:rPr>
      </w:pPr>
      <w:r>
        <w:rPr>
          <w:rFonts w:ascii="Times New Roman" w:hAnsi="Times New Roman"/>
          <w:szCs w:val="24"/>
        </w:rPr>
        <w:t xml:space="preserve"> </w:t>
      </w:r>
    </w:p>
    <w:p w14:paraId="5576E553">
      <w:pPr>
        <w:pStyle w:val="4"/>
        <w:numPr>
          <w:ilvl w:val="1"/>
          <w:numId w:val="25"/>
        </w:numPr>
        <w:shd w:val="clear" w:color="auto" w:fill="auto"/>
        <w:spacing w:line="240" w:lineRule="auto"/>
        <w:rPr>
          <w:rFonts w:ascii="Times New Roman" w:hAnsi="Times New Roman" w:eastAsia="MS Gothic"/>
        </w:rPr>
      </w:pPr>
      <w:bookmarkStart w:id="344" w:name="_Toc220710816"/>
      <w:bookmarkStart w:id="345" w:name="_Toc20526"/>
      <w:bookmarkStart w:id="346" w:name="_Toc17361"/>
      <w:bookmarkStart w:id="347" w:name="_Toc31363"/>
      <w:bookmarkStart w:id="348" w:name="_Toc534803010"/>
      <w:r>
        <w:rPr>
          <w:rFonts w:ascii="Times New Roman" w:hAnsi="Times New Roman" w:eastAsia="MS Gothic"/>
        </w:rPr>
        <w:t>Community Relations in Construction Phase</w:t>
      </w:r>
      <w:bookmarkEnd w:id="344"/>
      <w:bookmarkEnd w:id="345"/>
      <w:bookmarkEnd w:id="346"/>
      <w:bookmarkEnd w:id="347"/>
      <w:bookmarkEnd w:id="348"/>
    </w:p>
    <w:p w14:paraId="4D4894C4">
      <w:pPr>
        <w:spacing w:after="120" w:line="240" w:lineRule="auto"/>
        <w:jc w:val="both"/>
        <w:rPr>
          <w:rFonts w:ascii="Times New Roman" w:hAnsi="Times New Roman"/>
          <w:szCs w:val="24"/>
        </w:rPr>
      </w:pPr>
      <w:r>
        <w:rPr>
          <w:rFonts w:ascii="Times New Roman" w:hAnsi="Times New Roman"/>
          <w:szCs w:val="24"/>
        </w:rPr>
        <w:t xml:space="preserve">The primary responsibility for liaison will be borne by the Contractor who will develop his own plan and more detailed proposals for community liaison.  This will build on the approach outlined in this section. All potential contractors will be required to draw up this plan as part of the tender process.  </w:t>
      </w:r>
    </w:p>
    <w:p w14:paraId="74800774">
      <w:pPr>
        <w:spacing w:after="0" w:line="240" w:lineRule="auto"/>
        <w:jc w:val="both"/>
        <w:rPr>
          <w:rFonts w:ascii="Times New Roman" w:hAnsi="Times New Roman"/>
          <w:szCs w:val="24"/>
        </w:rPr>
      </w:pPr>
      <w:r>
        <w:rPr>
          <w:rFonts w:ascii="Times New Roman" w:hAnsi="Times New Roman"/>
          <w:szCs w:val="24"/>
        </w:rPr>
        <w:t>The objectives of the Community Relations Programme will be to:</w:t>
      </w:r>
    </w:p>
    <w:p w14:paraId="6EAAEEB0">
      <w:pPr>
        <w:numPr>
          <w:ilvl w:val="0"/>
          <w:numId w:val="29"/>
        </w:numPr>
        <w:spacing w:after="0" w:line="240" w:lineRule="auto"/>
        <w:jc w:val="both"/>
        <w:rPr>
          <w:rFonts w:ascii="Times New Roman" w:hAnsi="Times New Roman"/>
          <w:szCs w:val="24"/>
        </w:rPr>
      </w:pPr>
      <w:r>
        <w:rPr>
          <w:rFonts w:ascii="Times New Roman" w:hAnsi="Times New Roman"/>
          <w:szCs w:val="24"/>
        </w:rPr>
        <w:t>Provide residents with regular information on the progress of work.</w:t>
      </w:r>
    </w:p>
    <w:p w14:paraId="2E93D864">
      <w:pPr>
        <w:numPr>
          <w:ilvl w:val="0"/>
          <w:numId w:val="29"/>
        </w:numPr>
        <w:spacing w:after="0" w:line="240" w:lineRule="auto"/>
        <w:jc w:val="both"/>
        <w:rPr>
          <w:rFonts w:ascii="Times New Roman" w:hAnsi="Times New Roman"/>
          <w:szCs w:val="24"/>
        </w:rPr>
      </w:pPr>
      <w:r>
        <w:rPr>
          <w:rFonts w:ascii="Times New Roman" w:hAnsi="Times New Roman"/>
          <w:szCs w:val="24"/>
        </w:rPr>
        <w:t>Inform the project contractor of any community-related issues that may impact construction.</w:t>
      </w:r>
    </w:p>
    <w:p w14:paraId="78E130F1">
      <w:pPr>
        <w:numPr>
          <w:ilvl w:val="0"/>
          <w:numId w:val="29"/>
        </w:numPr>
        <w:spacing w:after="0" w:line="240" w:lineRule="auto"/>
        <w:jc w:val="both"/>
        <w:rPr>
          <w:rFonts w:ascii="Times New Roman" w:hAnsi="Times New Roman"/>
          <w:szCs w:val="24"/>
        </w:rPr>
      </w:pPr>
      <w:r>
        <w:rPr>
          <w:rFonts w:ascii="Times New Roman" w:hAnsi="Times New Roman"/>
          <w:szCs w:val="24"/>
        </w:rPr>
        <w:t>Monitor implementation of mitigation measures and the impact of construction via direct monitoring and feedback from Project area.</w:t>
      </w:r>
    </w:p>
    <w:p w14:paraId="721F8BBA">
      <w:pPr>
        <w:numPr>
          <w:ilvl w:val="0"/>
          <w:numId w:val="29"/>
        </w:numPr>
        <w:spacing w:after="0" w:line="240" w:lineRule="auto"/>
        <w:jc w:val="both"/>
        <w:rPr>
          <w:rFonts w:ascii="Times New Roman" w:hAnsi="Times New Roman"/>
          <w:szCs w:val="24"/>
        </w:rPr>
      </w:pPr>
      <w:r>
        <w:rPr>
          <w:rFonts w:ascii="Times New Roman" w:hAnsi="Times New Roman"/>
          <w:szCs w:val="24"/>
        </w:rPr>
        <w:t>Identify any significant new issues that may arise during the construction period</w:t>
      </w:r>
    </w:p>
    <w:p w14:paraId="3F405A47">
      <w:pPr>
        <w:numPr>
          <w:ilvl w:val="0"/>
          <w:numId w:val="29"/>
        </w:numPr>
        <w:spacing w:after="0" w:line="240" w:lineRule="auto"/>
        <w:jc w:val="both"/>
        <w:rPr>
          <w:rFonts w:ascii="Times New Roman" w:hAnsi="Times New Roman"/>
          <w:szCs w:val="24"/>
        </w:rPr>
      </w:pPr>
      <w:r>
        <w:rPr>
          <w:rFonts w:ascii="Times New Roman" w:hAnsi="Times New Roman"/>
          <w:szCs w:val="24"/>
        </w:rPr>
        <w:t>Manage any complaints against the project contractors from residents</w:t>
      </w:r>
    </w:p>
    <w:p w14:paraId="22D42B70">
      <w:pPr>
        <w:spacing w:after="120" w:line="240" w:lineRule="auto"/>
        <w:jc w:val="both"/>
        <w:rPr>
          <w:rFonts w:ascii="Times New Roman" w:hAnsi="Times New Roman"/>
          <w:szCs w:val="24"/>
        </w:rPr>
      </w:pPr>
      <w:r>
        <w:rPr>
          <w:rFonts w:ascii="Times New Roman" w:hAnsi="Times New Roman"/>
          <w:szCs w:val="24"/>
        </w:rPr>
        <w:t>The role of community relations officer will be assigned to someone whose responsibilities will be:</w:t>
      </w:r>
    </w:p>
    <w:p w14:paraId="409332C4">
      <w:pPr>
        <w:numPr>
          <w:ilvl w:val="0"/>
          <w:numId w:val="30"/>
        </w:numPr>
        <w:spacing w:after="120" w:line="240" w:lineRule="auto"/>
        <w:jc w:val="both"/>
        <w:rPr>
          <w:rFonts w:ascii="Times New Roman" w:hAnsi="Times New Roman"/>
          <w:szCs w:val="24"/>
        </w:rPr>
      </w:pPr>
      <w:r>
        <w:rPr>
          <w:rFonts w:ascii="Times New Roman" w:hAnsi="Times New Roman"/>
          <w:szCs w:val="24"/>
        </w:rPr>
        <w:t>The de-escalation of grievances that have not been resolved in either tier of the proposed GRM</w:t>
      </w:r>
    </w:p>
    <w:p w14:paraId="6A0F6331">
      <w:pPr>
        <w:numPr>
          <w:ilvl w:val="0"/>
          <w:numId w:val="30"/>
        </w:numPr>
        <w:spacing w:after="120" w:line="240" w:lineRule="auto"/>
        <w:jc w:val="both"/>
        <w:rPr>
          <w:rFonts w:ascii="Times New Roman" w:hAnsi="Times New Roman"/>
          <w:szCs w:val="24"/>
        </w:rPr>
      </w:pPr>
      <w:r>
        <w:rPr>
          <w:rFonts w:ascii="Times New Roman" w:hAnsi="Times New Roman"/>
          <w:szCs w:val="24"/>
        </w:rPr>
        <w:t>Maintenance of records of all grievances lodged and resolved.</w:t>
      </w:r>
    </w:p>
    <w:p w14:paraId="6B5D2E68">
      <w:pPr>
        <w:pStyle w:val="4"/>
        <w:numPr>
          <w:ilvl w:val="1"/>
          <w:numId w:val="25"/>
        </w:numPr>
        <w:shd w:val="clear" w:color="auto" w:fill="auto"/>
        <w:spacing w:line="240" w:lineRule="auto"/>
        <w:jc w:val="both"/>
        <w:rPr>
          <w:rFonts w:ascii="Times New Roman" w:hAnsi="Times New Roman" w:eastAsia="MS Gothic"/>
        </w:rPr>
      </w:pPr>
      <w:bookmarkStart w:id="349" w:name="_Toc19334"/>
      <w:bookmarkStart w:id="350" w:name="_Toc534803011"/>
      <w:bookmarkStart w:id="351" w:name="_Toc220710817"/>
      <w:bookmarkStart w:id="352" w:name="_Toc30466"/>
      <w:bookmarkStart w:id="353" w:name="_Toc32702"/>
      <w:r>
        <w:rPr>
          <w:rFonts w:ascii="Times New Roman" w:hAnsi="Times New Roman" w:eastAsia="MS Gothic"/>
        </w:rPr>
        <w:t>Construction Contractor’s Role in Community Liaison</w:t>
      </w:r>
      <w:bookmarkEnd w:id="349"/>
      <w:bookmarkEnd w:id="350"/>
      <w:bookmarkEnd w:id="351"/>
      <w:bookmarkEnd w:id="352"/>
      <w:bookmarkEnd w:id="353"/>
    </w:p>
    <w:p w14:paraId="70CA434A">
      <w:pPr>
        <w:spacing w:after="120" w:line="240" w:lineRule="auto"/>
        <w:jc w:val="both"/>
        <w:rPr>
          <w:rFonts w:ascii="Times New Roman" w:hAnsi="Times New Roman"/>
          <w:szCs w:val="24"/>
        </w:rPr>
      </w:pPr>
      <w:r>
        <w:rPr>
          <w:rFonts w:ascii="Times New Roman" w:hAnsi="Times New Roman"/>
          <w:szCs w:val="24"/>
        </w:rPr>
        <w:t xml:space="preserve">The Contractor will be required to prepare and adhere to the requirements of the Environmental and Social Management Plan (ESMP) that sets out how the contractor will meet and monitor the mitigation measures recommended by the Plan. </w:t>
      </w:r>
    </w:p>
    <w:p w14:paraId="1A84634C">
      <w:pPr>
        <w:spacing w:after="120" w:line="240" w:lineRule="auto"/>
        <w:jc w:val="both"/>
        <w:rPr>
          <w:rFonts w:ascii="Times New Roman" w:hAnsi="Times New Roman"/>
          <w:szCs w:val="24"/>
        </w:rPr>
      </w:pPr>
      <w:r>
        <w:rPr>
          <w:rFonts w:ascii="Times New Roman" w:hAnsi="Times New Roman"/>
          <w:szCs w:val="24"/>
        </w:rPr>
        <w:t>The role and responsibilities of the Contractor’s Community liaison include:</w:t>
      </w:r>
    </w:p>
    <w:p w14:paraId="63E2265C">
      <w:pPr>
        <w:numPr>
          <w:ilvl w:val="0"/>
          <w:numId w:val="31"/>
        </w:numPr>
        <w:spacing w:after="120" w:line="240" w:lineRule="auto"/>
        <w:jc w:val="both"/>
        <w:rPr>
          <w:rFonts w:ascii="Times New Roman" w:hAnsi="Times New Roman"/>
          <w:szCs w:val="24"/>
        </w:rPr>
      </w:pPr>
      <w:r>
        <w:rPr>
          <w:rFonts w:ascii="Times New Roman" w:hAnsi="Times New Roman"/>
          <w:szCs w:val="24"/>
        </w:rPr>
        <w:t>Provide a primary interface between the project and affected or interested persons;</w:t>
      </w:r>
    </w:p>
    <w:p w14:paraId="75E689C2">
      <w:pPr>
        <w:numPr>
          <w:ilvl w:val="0"/>
          <w:numId w:val="31"/>
        </w:numPr>
        <w:spacing w:after="120" w:line="240" w:lineRule="auto"/>
        <w:jc w:val="both"/>
        <w:rPr>
          <w:rFonts w:ascii="Times New Roman" w:hAnsi="Times New Roman"/>
          <w:szCs w:val="24"/>
        </w:rPr>
      </w:pPr>
      <w:r>
        <w:rPr>
          <w:rFonts w:ascii="Times New Roman" w:hAnsi="Times New Roman"/>
          <w:szCs w:val="24"/>
        </w:rPr>
        <w:t>Coordinate and implement required pre-construction activities, namely;</w:t>
      </w:r>
    </w:p>
    <w:p w14:paraId="283FDEB9">
      <w:pPr>
        <w:spacing w:after="120" w:line="240" w:lineRule="auto"/>
        <w:jc w:val="both"/>
        <w:rPr>
          <w:rFonts w:ascii="Times New Roman" w:hAnsi="Times New Roman"/>
          <w:szCs w:val="24"/>
        </w:rPr>
      </w:pPr>
      <w:r>
        <w:rPr>
          <w:rFonts w:ascii="Times New Roman" w:hAnsi="Times New Roman"/>
          <w:szCs w:val="24"/>
        </w:rPr>
        <w:t xml:space="preserve">Produce management plans for community relations, construction camps and transport; train staff with community relations responsibilities; </w:t>
      </w:r>
    </w:p>
    <w:p w14:paraId="355033CD">
      <w:pPr>
        <w:numPr>
          <w:ilvl w:val="0"/>
          <w:numId w:val="31"/>
        </w:numPr>
        <w:spacing w:after="120" w:line="240" w:lineRule="auto"/>
        <w:jc w:val="both"/>
        <w:rPr>
          <w:rFonts w:ascii="Times New Roman" w:hAnsi="Times New Roman"/>
          <w:szCs w:val="24"/>
        </w:rPr>
      </w:pPr>
      <w:r>
        <w:rPr>
          <w:rFonts w:ascii="Times New Roman" w:hAnsi="Times New Roman"/>
          <w:szCs w:val="24"/>
        </w:rPr>
        <w:t>Implement induction training workshops for all construction staff;</w:t>
      </w:r>
    </w:p>
    <w:p w14:paraId="60E01C15">
      <w:pPr>
        <w:numPr>
          <w:ilvl w:val="0"/>
          <w:numId w:val="31"/>
        </w:numPr>
        <w:spacing w:after="120" w:line="240" w:lineRule="auto"/>
        <w:jc w:val="both"/>
        <w:rPr>
          <w:rFonts w:ascii="Times New Roman" w:hAnsi="Times New Roman"/>
          <w:szCs w:val="24"/>
        </w:rPr>
      </w:pPr>
      <w:r>
        <w:rPr>
          <w:rFonts w:ascii="Times New Roman" w:hAnsi="Times New Roman"/>
          <w:szCs w:val="24"/>
        </w:rPr>
        <w:t xml:space="preserve">Assist in the local recruitment process; </w:t>
      </w:r>
    </w:p>
    <w:p w14:paraId="10A23EF4">
      <w:pPr>
        <w:numPr>
          <w:ilvl w:val="0"/>
          <w:numId w:val="31"/>
        </w:numPr>
        <w:spacing w:after="120" w:line="240" w:lineRule="auto"/>
        <w:jc w:val="both"/>
        <w:rPr>
          <w:rFonts w:ascii="Times New Roman" w:hAnsi="Times New Roman"/>
          <w:szCs w:val="24"/>
        </w:rPr>
      </w:pPr>
      <w:r>
        <w:rPr>
          <w:rFonts w:ascii="Times New Roman" w:hAnsi="Times New Roman"/>
          <w:szCs w:val="24"/>
        </w:rPr>
        <w:t>Ensure on-going communication with project and affected or interested persons.</w:t>
      </w:r>
    </w:p>
    <w:p w14:paraId="3B55CAA4">
      <w:pPr>
        <w:pStyle w:val="4"/>
        <w:numPr>
          <w:ilvl w:val="1"/>
          <w:numId w:val="25"/>
        </w:numPr>
        <w:shd w:val="clear" w:color="auto" w:fill="auto"/>
        <w:spacing w:line="240" w:lineRule="auto"/>
        <w:jc w:val="both"/>
        <w:rPr>
          <w:rFonts w:ascii="Times New Roman" w:hAnsi="Times New Roman" w:eastAsia="MS Gothic"/>
        </w:rPr>
      </w:pPr>
      <w:bookmarkStart w:id="354" w:name="_Toc534803012"/>
      <w:bookmarkStart w:id="355" w:name="_Toc12945"/>
      <w:bookmarkStart w:id="356" w:name="_Toc30535"/>
      <w:bookmarkStart w:id="357" w:name="_Toc220710818"/>
      <w:bookmarkStart w:id="358" w:name="_Toc23680"/>
      <w:r>
        <w:rPr>
          <w:rFonts w:ascii="Times New Roman" w:hAnsi="Times New Roman" w:eastAsia="MS Gothic"/>
        </w:rPr>
        <w:t>Community Relations in Operational Phase</w:t>
      </w:r>
      <w:bookmarkEnd w:id="354"/>
      <w:bookmarkEnd w:id="355"/>
      <w:bookmarkEnd w:id="356"/>
      <w:bookmarkEnd w:id="357"/>
      <w:bookmarkEnd w:id="358"/>
    </w:p>
    <w:p w14:paraId="654BD1AA">
      <w:pPr>
        <w:spacing w:after="120" w:line="240" w:lineRule="auto"/>
        <w:jc w:val="both"/>
        <w:rPr>
          <w:rFonts w:ascii="Times New Roman" w:hAnsi="Times New Roman"/>
          <w:szCs w:val="24"/>
        </w:rPr>
      </w:pPr>
      <w:r>
        <w:rPr>
          <w:rFonts w:ascii="Times New Roman" w:hAnsi="Times New Roman"/>
          <w:szCs w:val="24"/>
        </w:rPr>
        <w:t>The objective of the Community Relations Programme in this Phase will be to:</w:t>
      </w:r>
    </w:p>
    <w:p w14:paraId="28B749AA">
      <w:pPr>
        <w:numPr>
          <w:ilvl w:val="0"/>
          <w:numId w:val="32"/>
        </w:numPr>
        <w:spacing w:after="120" w:line="240" w:lineRule="auto"/>
        <w:jc w:val="both"/>
        <w:rPr>
          <w:rFonts w:ascii="Times New Roman" w:hAnsi="Times New Roman"/>
          <w:szCs w:val="24"/>
        </w:rPr>
      </w:pPr>
      <w:r>
        <w:rPr>
          <w:rFonts w:ascii="Times New Roman" w:hAnsi="Times New Roman"/>
          <w:szCs w:val="24"/>
        </w:rPr>
        <w:t>Maintain constructive relationships between local residents to assist in the operation of the facilities;</w:t>
      </w:r>
    </w:p>
    <w:p w14:paraId="1A91CF9C">
      <w:pPr>
        <w:numPr>
          <w:ilvl w:val="0"/>
          <w:numId w:val="32"/>
        </w:numPr>
        <w:spacing w:after="120" w:line="240" w:lineRule="auto"/>
        <w:jc w:val="both"/>
        <w:rPr>
          <w:rFonts w:ascii="Times New Roman" w:hAnsi="Times New Roman"/>
          <w:szCs w:val="24"/>
        </w:rPr>
      </w:pPr>
      <w:r>
        <w:rPr>
          <w:rFonts w:ascii="Times New Roman" w:hAnsi="Times New Roman"/>
          <w:szCs w:val="24"/>
        </w:rPr>
        <w:t>Maintain awareness of safety issues among local residents in the project areas;</w:t>
      </w:r>
    </w:p>
    <w:p w14:paraId="66D646C5">
      <w:pPr>
        <w:numPr>
          <w:ilvl w:val="0"/>
          <w:numId w:val="32"/>
        </w:numPr>
        <w:spacing w:after="120" w:line="240" w:lineRule="auto"/>
        <w:jc w:val="both"/>
        <w:rPr>
          <w:rFonts w:ascii="Times New Roman" w:hAnsi="Times New Roman"/>
          <w:szCs w:val="24"/>
        </w:rPr>
      </w:pPr>
      <w:r>
        <w:rPr>
          <w:rFonts w:ascii="Times New Roman" w:hAnsi="Times New Roman"/>
          <w:szCs w:val="24"/>
        </w:rPr>
        <w:t>Ensure compliance with land use constraints among landowners in the project areas</w:t>
      </w:r>
    </w:p>
    <w:p w14:paraId="4565EF20">
      <w:pPr>
        <w:pStyle w:val="4"/>
        <w:numPr>
          <w:ilvl w:val="1"/>
          <w:numId w:val="25"/>
        </w:numPr>
        <w:shd w:val="clear" w:color="auto" w:fill="auto"/>
        <w:spacing w:line="240" w:lineRule="auto"/>
        <w:jc w:val="both"/>
        <w:rPr>
          <w:rFonts w:ascii="Times New Roman" w:hAnsi="Times New Roman" w:eastAsia="MS Gothic"/>
        </w:rPr>
      </w:pPr>
      <w:bookmarkStart w:id="359" w:name="_Toc12608"/>
      <w:bookmarkStart w:id="360" w:name="_Toc20954"/>
      <w:bookmarkStart w:id="361" w:name="_Toc220710819"/>
      <w:bookmarkStart w:id="362" w:name="_Toc29058"/>
      <w:bookmarkStart w:id="363" w:name="_Toc534803013"/>
      <w:r>
        <w:rPr>
          <w:rFonts w:ascii="Times New Roman" w:hAnsi="Times New Roman" w:eastAsia="MS Gothic"/>
        </w:rPr>
        <w:t>Grievance Redress Management Plan</w:t>
      </w:r>
      <w:bookmarkEnd w:id="359"/>
      <w:bookmarkEnd w:id="360"/>
      <w:bookmarkEnd w:id="361"/>
      <w:bookmarkEnd w:id="362"/>
      <w:bookmarkEnd w:id="363"/>
    </w:p>
    <w:p w14:paraId="72936641">
      <w:pPr>
        <w:spacing w:after="120" w:line="240" w:lineRule="auto"/>
        <w:jc w:val="both"/>
        <w:rPr>
          <w:rFonts w:ascii="Times New Roman" w:hAnsi="Times New Roman"/>
          <w:szCs w:val="24"/>
        </w:rPr>
        <w:sectPr>
          <w:pgSz w:w="11906" w:h="16838"/>
          <w:pgMar w:top="1440" w:right="1440" w:bottom="1440" w:left="1440" w:header="720" w:footer="720" w:gutter="0"/>
          <w:cols w:space="720" w:num="1"/>
          <w:docGrid w:linePitch="360" w:charSpace="0"/>
        </w:sectPr>
      </w:pPr>
      <w:r>
        <w:rPr>
          <w:rFonts w:ascii="Times New Roman" w:hAnsi="Times New Roman"/>
          <w:szCs w:val="24"/>
        </w:rPr>
        <w:t xml:space="preserve">This ESIA provides for Grievance Redress Mechanisms (GRM) which includes instruments, methods and processes by which a resolution to a grievance is sought and provided. </w:t>
      </w:r>
    </w:p>
    <w:p w14:paraId="1BC6BE55">
      <w:pPr>
        <w:spacing w:after="120" w:line="240" w:lineRule="auto"/>
        <w:jc w:val="both"/>
        <w:rPr>
          <w:rFonts w:ascii="Times New Roman" w:hAnsi="Times New Roman"/>
          <w:szCs w:val="24"/>
        </w:rPr>
      </w:pPr>
    </w:p>
    <w:p w14:paraId="328079F4">
      <w:pPr>
        <w:pStyle w:val="2"/>
        <w:numPr>
          <w:ilvl w:val="0"/>
          <w:numId w:val="25"/>
        </w:numPr>
        <w:shd w:val="clear" w:color="auto" w:fill="auto"/>
        <w:spacing w:line="240" w:lineRule="auto"/>
        <w:rPr>
          <w:rFonts w:ascii="Times New Roman" w:hAnsi="Times New Roman"/>
          <w:szCs w:val="24"/>
        </w:rPr>
      </w:pPr>
      <w:bookmarkStart w:id="364" w:name="_Toc220710820"/>
      <w:bookmarkStart w:id="365" w:name="_Toc23029"/>
      <w:bookmarkStart w:id="366" w:name="_Toc7342"/>
      <w:bookmarkStart w:id="367" w:name="_Toc14864"/>
      <w:r>
        <w:rPr>
          <w:rFonts w:ascii="Times New Roman" w:hAnsi="Times New Roman"/>
          <w:szCs w:val="24"/>
        </w:rPr>
        <w:t>ALTERNATIVES TO THE PROJECT</w:t>
      </w:r>
      <w:bookmarkEnd w:id="364"/>
      <w:bookmarkEnd w:id="365"/>
      <w:bookmarkEnd w:id="366"/>
      <w:bookmarkEnd w:id="367"/>
      <w:r>
        <w:rPr>
          <w:rFonts w:ascii="Times New Roman" w:hAnsi="Times New Roman"/>
          <w:szCs w:val="24"/>
        </w:rPr>
        <w:t xml:space="preserve"> </w:t>
      </w:r>
    </w:p>
    <w:p w14:paraId="05D34C87">
      <w:pPr>
        <w:spacing w:line="240" w:lineRule="auto"/>
        <w:jc w:val="both"/>
        <w:rPr>
          <w:rFonts w:ascii="Times New Roman" w:hAnsi="Times New Roman"/>
          <w:szCs w:val="24"/>
        </w:rPr>
      </w:pPr>
      <w:r>
        <w:rPr>
          <w:rFonts w:ascii="Times New Roman" w:hAnsi="Times New Roman"/>
          <w:szCs w:val="24"/>
        </w:rPr>
        <w:t>This chapter describes and examines the various alternatives considered for the project, focusing on the selection of KIMAWASCO Head Office. Alternatives must compare in terms of their potential environmental impacts, capital and recurrent costs, suitability under local conditions, and acceptability by neighbouring land users.</w:t>
      </w:r>
    </w:p>
    <w:p w14:paraId="162B8414">
      <w:pPr>
        <w:pStyle w:val="3"/>
        <w:spacing w:line="240" w:lineRule="auto"/>
        <w:rPr>
          <w:rFonts w:ascii="Times New Roman" w:hAnsi="Times New Roman" w:cs="Times New Roman"/>
          <w:sz w:val="24"/>
          <w:szCs w:val="24"/>
        </w:rPr>
      </w:pPr>
      <w:bookmarkStart w:id="368" w:name="_Toc9552"/>
      <w:bookmarkStart w:id="369" w:name="_Toc220710821"/>
      <w:bookmarkStart w:id="370" w:name="_Toc23840"/>
      <w:bookmarkStart w:id="371" w:name="_Toc613"/>
      <w:r>
        <w:rPr>
          <w:rFonts w:ascii="Times New Roman" w:hAnsi="Times New Roman" w:cs="Times New Roman"/>
          <w:sz w:val="24"/>
          <w:szCs w:val="24"/>
        </w:rPr>
        <w:t>No Action Alternative</w:t>
      </w:r>
      <w:bookmarkEnd w:id="368"/>
      <w:bookmarkEnd w:id="369"/>
      <w:bookmarkEnd w:id="370"/>
      <w:bookmarkEnd w:id="371"/>
      <w:r>
        <w:rPr>
          <w:rFonts w:ascii="Times New Roman" w:hAnsi="Times New Roman" w:cs="Times New Roman"/>
          <w:sz w:val="24"/>
          <w:szCs w:val="24"/>
        </w:rPr>
        <w:t xml:space="preserve"> </w:t>
      </w:r>
    </w:p>
    <w:p w14:paraId="1E76AD1D">
      <w:pPr>
        <w:spacing w:line="240" w:lineRule="auto"/>
        <w:jc w:val="both"/>
        <w:rPr>
          <w:rFonts w:ascii="Times New Roman" w:hAnsi="Times New Roman"/>
          <w:szCs w:val="24"/>
          <w:lang w:val="en-US"/>
        </w:rPr>
      </w:pPr>
      <w:r>
        <w:rPr>
          <w:rFonts w:ascii="Times New Roman" w:hAnsi="Times New Roman"/>
          <w:szCs w:val="24"/>
        </w:rPr>
        <w:t xml:space="preserve">If the ablution block is not constructed, the current lack of proper sanitation facilities will persist. </w:t>
      </w:r>
      <w:r>
        <w:rPr>
          <w:rFonts w:ascii="Times New Roman" w:hAnsi="Times New Roman"/>
          <w:szCs w:val="24"/>
          <w:lang w:val="en-US"/>
        </w:rPr>
        <w:t>This may result in reduced user comfort, convenience, and welfare, particularly during peak operational periods. Limitations in the existing facilities may lead to poor sanitation practices and challenges in proper wastewater management, increasing the risk of soil contamination and potential pollution of nearby water sources.</w:t>
      </w:r>
    </w:p>
    <w:p w14:paraId="49DBEDB4">
      <w:pPr>
        <w:spacing w:line="240" w:lineRule="auto"/>
        <w:jc w:val="both"/>
        <w:rPr>
          <w:rFonts w:ascii="Times New Roman" w:hAnsi="Times New Roman"/>
          <w:szCs w:val="24"/>
          <w:lang w:val="en-US"/>
        </w:rPr>
      </w:pPr>
      <w:r>
        <w:rPr>
          <w:rFonts w:ascii="Times New Roman" w:hAnsi="Times New Roman"/>
          <w:szCs w:val="24"/>
          <w:lang w:val="en-US"/>
        </w:rPr>
        <w:t>The continued absence of adequate sanitation infrastructure may also contribute to public health concerns, including an increased risk of waterborne and hygiene-related diseases, especially given the high frequency of staff and customer interactions at the offices.</w:t>
      </w:r>
    </w:p>
    <w:p w14:paraId="153AE6C3">
      <w:pPr>
        <w:spacing w:line="240" w:lineRule="auto"/>
        <w:jc w:val="both"/>
        <w:rPr>
          <w:rFonts w:ascii="Times New Roman" w:hAnsi="Times New Roman"/>
          <w:szCs w:val="24"/>
        </w:rPr>
      </w:pPr>
      <w:r>
        <w:rPr>
          <w:rFonts w:ascii="Times New Roman" w:hAnsi="Times New Roman"/>
          <w:szCs w:val="24"/>
        </w:rPr>
        <w:t>Failure to implement the project may result in public dissatisfaction, as stakeholders have expressed the need for improved sanitation during consultations. The no action alternative could be perceived as neglecting KIMAWASCO staff and community needs and priorities.</w:t>
      </w:r>
    </w:p>
    <w:p w14:paraId="0FB38E8D">
      <w:pPr>
        <w:pStyle w:val="3"/>
        <w:spacing w:line="240" w:lineRule="auto"/>
        <w:rPr>
          <w:rFonts w:ascii="Times New Roman" w:hAnsi="Times New Roman" w:cs="Times New Roman"/>
          <w:sz w:val="24"/>
          <w:szCs w:val="24"/>
        </w:rPr>
      </w:pPr>
      <w:bookmarkStart w:id="372" w:name="_Toc220710822"/>
      <w:bookmarkStart w:id="373" w:name="_Toc6958"/>
      <w:bookmarkStart w:id="374" w:name="_Toc10250"/>
      <w:bookmarkStart w:id="375" w:name="_Toc5337"/>
      <w:r>
        <w:rPr>
          <w:rFonts w:ascii="Times New Roman" w:hAnsi="Times New Roman" w:cs="Times New Roman"/>
          <w:sz w:val="24"/>
          <w:szCs w:val="24"/>
        </w:rPr>
        <w:t>Design Alternative</w:t>
      </w:r>
      <w:bookmarkEnd w:id="372"/>
      <w:bookmarkEnd w:id="373"/>
      <w:bookmarkEnd w:id="374"/>
      <w:bookmarkEnd w:id="375"/>
    </w:p>
    <w:p w14:paraId="7670642D">
      <w:pPr>
        <w:pStyle w:val="32"/>
        <w:spacing w:line="240" w:lineRule="auto"/>
        <w:ind w:left="0"/>
        <w:jc w:val="both"/>
        <w:rPr>
          <w:rFonts w:ascii="Times New Roman" w:hAnsi="Times New Roman"/>
        </w:rPr>
      </w:pPr>
      <w:r>
        <w:rPr>
          <w:rFonts w:ascii="Times New Roman" w:hAnsi="Times New Roman"/>
        </w:rPr>
        <w:t>Different designs for the ablution block, specifically targeting institutional use, were considered. This is because the operation and maintenance of facilities in institutions differ significantly from those that are open to the general public.</w:t>
      </w:r>
    </w:p>
    <w:p w14:paraId="50C011F3">
      <w:pPr>
        <w:pStyle w:val="32"/>
        <w:spacing w:line="240" w:lineRule="auto"/>
        <w:ind w:left="0"/>
        <w:jc w:val="both"/>
        <w:rPr>
          <w:rFonts w:ascii="Times New Roman" w:hAnsi="Times New Roman"/>
          <w:szCs w:val="24"/>
        </w:rPr>
      </w:pPr>
      <w:r>
        <w:rPr>
          <w:rFonts w:ascii="Times New Roman" w:hAnsi="Times New Roman"/>
        </w:rPr>
        <w:t>During consultations, the public indicated that the proposed English-style toilets could be difficult to maintain and might increase the risk of disease transmission. Consequently, it is recommended that three of the toilets be constructed as Eastern-style (squatting) toilets, while one remains an English-style toilet to accommodate elderly users and persons with special needs.</w:t>
      </w:r>
    </w:p>
    <w:p w14:paraId="737D7E00">
      <w:pPr>
        <w:pStyle w:val="3"/>
        <w:spacing w:line="240" w:lineRule="auto"/>
        <w:rPr>
          <w:rFonts w:ascii="Times New Roman" w:hAnsi="Times New Roman" w:cs="Times New Roman"/>
          <w:sz w:val="24"/>
          <w:szCs w:val="24"/>
        </w:rPr>
      </w:pPr>
      <w:bookmarkStart w:id="376" w:name="_Toc7060"/>
      <w:bookmarkStart w:id="377" w:name="_Toc13363"/>
      <w:bookmarkStart w:id="378" w:name="_Toc220710823"/>
      <w:bookmarkStart w:id="379" w:name="_Toc9530"/>
      <w:r>
        <w:rPr>
          <w:rFonts w:ascii="Times New Roman" w:hAnsi="Times New Roman" w:cs="Times New Roman"/>
          <w:sz w:val="24"/>
          <w:szCs w:val="24"/>
        </w:rPr>
        <w:t>Site Alternative</w:t>
      </w:r>
      <w:bookmarkEnd w:id="376"/>
      <w:bookmarkEnd w:id="377"/>
      <w:bookmarkEnd w:id="378"/>
      <w:bookmarkEnd w:id="379"/>
    </w:p>
    <w:p w14:paraId="3057C754">
      <w:pPr>
        <w:spacing w:line="240" w:lineRule="auto"/>
        <w:jc w:val="both"/>
        <w:rPr>
          <w:rFonts w:ascii="Times New Roman" w:hAnsi="Times New Roman"/>
        </w:rPr>
      </w:pPr>
      <w:r>
        <w:rPr>
          <w:rFonts w:ascii="Times New Roman" w:hAnsi="Times New Roman"/>
        </w:rPr>
        <w:t>The KIMAWASCO office site was selected because it minimizes environmental disruption and aligns with existing land-use plans, reducing the need for extensive modifications or additional land acquisition. Its proximity to essential utilities and transport networks further enhances its suitability, enabling efficient project implementation while supporting broader community development goals.</w:t>
      </w:r>
    </w:p>
    <w:p w14:paraId="3286A8C6">
      <w:pPr>
        <w:spacing w:line="240" w:lineRule="auto"/>
        <w:jc w:val="both"/>
        <w:rPr>
          <w:rFonts w:ascii="Times New Roman" w:hAnsi="Times New Roman"/>
          <w:szCs w:val="24"/>
        </w:rPr>
      </w:pPr>
      <w:r>
        <w:rPr>
          <w:rFonts w:ascii="Times New Roman" w:hAnsi="Times New Roman"/>
        </w:rPr>
        <w:t>During the site selection process, alternative locations were considered and evaluated based on environmental, social, and logistical factors. The chosen site was determined to offer the best balance between minimizing impacts, reducing costs, and ensuring accessibility for project operations.</w:t>
      </w:r>
      <w:r>
        <w:rPr>
          <w:rFonts w:ascii="Times New Roman" w:hAnsi="Times New Roman"/>
          <w:szCs w:val="24"/>
        </w:rPr>
        <w:br w:type="page"/>
      </w:r>
    </w:p>
    <w:p w14:paraId="730583CD">
      <w:pPr>
        <w:pStyle w:val="2"/>
        <w:numPr>
          <w:ilvl w:val="0"/>
          <w:numId w:val="25"/>
        </w:numPr>
        <w:shd w:val="clear" w:color="auto" w:fill="auto"/>
        <w:spacing w:line="240" w:lineRule="auto"/>
        <w:rPr>
          <w:rFonts w:ascii="Times New Roman" w:hAnsi="Times New Roman"/>
          <w:szCs w:val="24"/>
        </w:rPr>
      </w:pPr>
      <w:bookmarkStart w:id="380" w:name="_Toc19410"/>
      <w:bookmarkStart w:id="381" w:name="_Toc432433437"/>
      <w:bookmarkStart w:id="382" w:name="_Toc3025"/>
      <w:bookmarkStart w:id="383" w:name="_Toc220710824"/>
      <w:bookmarkStart w:id="384" w:name="_Toc12788"/>
      <w:r>
        <w:rPr>
          <w:rFonts w:ascii="Times New Roman" w:hAnsi="Times New Roman"/>
          <w:szCs w:val="24"/>
        </w:rPr>
        <w:t>RELEVANT LEGISLATIVE/ REGULATORY FRAMEWORK</w:t>
      </w:r>
      <w:bookmarkEnd w:id="380"/>
      <w:bookmarkEnd w:id="381"/>
      <w:bookmarkEnd w:id="382"/>
      <w:bookmarkEnd w:id="383"/>
      <w:bookmarkEnd w:id="384"/>
    </w:p>
    <w:p w14:paraId="359E4171">
      <w:pPr>
        <w:spacing w:line="240" w:lineRule="auto"/>
        <w:jc w:val="both"/>
        <w:rPr>
          <w:rFonts w:ascii="Times New Roman" w:hAnsi="Times New Roman"/>
          <w:szCs w:val="24"/>
        </w:rPr>
      </w:pPr>
      <w:r>
        <w:rPr>
          <w:rFonts w:ascii="Times New Roman" w:hAnsi="Times New Roman"/>
          <w:szCs w:val="24"/>
        </w:rPr>
        <w:t>There are many laws and regulations governing issues of environmental concern in Kenya. The principal National legislation is the Environmental Management &amp; Coordination Act Cap 387 typically referred to as EMCA. EMCA empowers stakeholders to participate in sustainable management of the natural resources. It calls for Environmental and Social Impact assessment (ESIA) (under Section 58) to guide the implementation of environmentally sound decisions. Projects likely to cause environmental impacts require that an environmental impact assessment study to be carried out. It is under this provision that the current study is being undertaken.</w:t>
      </w:r>
    </w:p>
    <w:p w14:paraId="13414A2B">
      <w:pPr>
        <w:spacing w:line="240" w:lineRule="auto"/>
        <w:jc w:val="both"/>
        <w:rPr>
          <w:rFonts w:ascii="Times New Roman" w:hAnsi="Times New Roman"/>
          <w:szCs w:val="24"/>
        </w:rPr>
      </w:pPr>
      <w:r>
        <w:rPr>
          <w:rFonts w:ascii="Times New Roman" w:hAnsi="Times New Roman"/>
          <w:szCs w:val="24"/>
        </w:rPr>
        <w:t>In addition to the local legislation, the Expert has identified some World Bank Policies of relevance to the project.</w:t>
      </w:r>
    </w:p>
    <w:p w14:paraId="4AC71D5A">
      <w:pPr>
        <w:spacing w:line="240" w:lineRule="auto"/>
        <w:jc w:val="both"/>
        <w:rPr>
          <w:rFonts w:ascii="Times New Roman" w:hAnsi="Times New Roman"/>
          <w:szCs w:val="24"/>
        </w:rPr>
      </w:pPr>
      <w:r>
        <w:rPr>
          <w:rFonts w:ascii="Times New Roman" w:hAnsi="Times New Roman"/>
          <w:szCs w:val="24"/>
        </w:rPr>
        <w:t>The following is an outline of the legislative, policy and regulatory framework for which the Proponent shall observe and implement to comply with Environmental Sustainability.</w:t>
      </w:r>
    </w:p>
    <w:p w14:paraId="53BDD558">
      <w:pPr>
        <w:pStyle w:val="3"/>
        <w:spacing w:line="240" w:lineRule="auto"/>
        <w:rPr>
          <w:rFonts w:ascii="Times New Roman" w:hAnsi="Times New Roman" w:cs="Times New Roman"/>
          <w:b w:val="0"/>
          <w:sz w:val="24"/>
          <w:szCs w:val="24"/>
        </w:rPr>
      </w:pPr>
      <w:bookmarkStart w:id="385" w:name="_Toc24706"/>
      <w:bookmarkStart w:id="386" w:name="_Toc5568"/>
      <w:bookmarkStart w:id="387" w:name="_Toc220710825"/>
      <w:bookmarkStart w:id="388" w:name="_Toc17777"/>
      <w:r>
        <w:rPr>
          <w:rFonts w:ascii="Times New Roman" w:hAnsi="Times New Roman" w:cs="Times New Roman"/>
          <w:sz w:val="24"/>
          <w:szCs w:val="24"/>
        </w:rPr>
        <w:t>6.1</w:t>
      </w:r>
      <w:r>
        <w:rPr>
          <w:rFonts w:ascii="Times New Roman" w:hAnsi="Times New Roman" w:cs="Times New Roman"/>
          <w:sz w:val="24"/>
          <w:szCs w:val="24"/>
        </w:rPr>
        <w:tab/>
      </w:r>
      <w:r>
        <w:rPr>
          <w:rFonts w:ascii="Times New Roman" w:hAnsi="Times New Roman" w:cs="Times New Roman"/>
          <w:sz w:val="24"/>
          <w:szCs w:val="24"/>
        </w:rPr>
        <w:t>Policy Framework</w:t>
      </w:r>
      <w:bookmarkEnd w:id="385"/>
      <w:bookmarkEnd w:id="386"/>
      <w:bookmarkEnd w:id="387"/>
      <w:bookmarkEnd w:id="388"/>
    </w:p>
    <w:p w14:paraId="34AE6E08">
      <w:pPr>
        <w:spacing w:line="240" w:lineRule="auto"/>
        <w:jc w:val="both"/>
        <w:rPr>
          <w:rFonts w:ascii="Times New Roman" w:hAnsi="Times New Roman"/>
          <w:szCs w:val="24"/>
          <w:lang w:val="en-US"/>
        </w:rPr>
      </w:pPr>
      <w:r>
        <w:rPr>
          <w:rFonts w:ascii="Times New Roman" w:hAnsi="Times New Roman"/>
          <w:szCs w:val="24"/>
          <w:lang w:val="en-US"/>
        </w:rPr>
        <w:t>Environmental and social policy frameworks aim to help address environmental and social risks in development projects and minimize and mitigate, if not avoid, adverse project impacts on people and the environment.</w:t>
      </w:r>
    </w:p>
    <w:p w14:paraId="22BFF350">
      <w:pPr>
        <w:pStyle w:val="4"/>
        <w:numPr>
          <w:ilvl w:val="1"/>
          <w:numId w:val="33"/>
        </w:numPr>
        <w:shd w:val="clear" w:color="auto" w:fill="auto"/>
        <w:spacing w:line="240" w:lineRule="auto"/>
        <w:rPr>
          <w:rFonts w:ascii="Times New Roman" w:hAnsi="Times New Roman"/>
          <w:b/>
          <w:lang w:val="en-US"/>
        </w:rPr>
      </w:pPr>
      <w:bookmarkStart w:id="389" w:name="_Toc189054384"/>
      <w:bookmarkStart w:id="390" w:name="_Toc220710826"/>
      <w:bookmarkStart w:id="391" w:name="_Toc28460"/>
      <w:bookmarkStart w:id="392" w:name="_Toc30273"/>
      <w:bookmarkStart w:id="393" w:name="_Toc6691"/>
      <w:r>
        <w:rPr>
          <w:rFonts w:ascii="Times New Roman" w:hAnsi="Times New Roman"/>
          <w:b/>
          <w:lang w:val="en-US"/>
        </w:rPr>
        <w:t>National Environment Policy (NEP) 2013</w:t>
      </w:r>
      <w:bookmarkEnd w:id="389"/>
      <w:bookmarkEnd w:id="390"/>
      <w:bookmarkEnd w:id="391"/>
      <w:bookmarkEnd w:id="392"/>
      <w:bookmarkEnd w:id="393"/>
    </w:p>
    <w:p w14:paraId="38E605B3">
      <w:pPr>
        <w:spacing w:line="240" w:lineRule="auto"/>
        <w:jc w:val="both"/>
        <w:rPr>
          <w:rFonts w:ascii="Times New Roman" w:hAnsi="Times New Roman"/>
          <w:szCs w:val="24"/>
          <w:lang w:val="en-US"/>
        </w:rPr>
      </w:pPr>
      <w:r>
        <w:rPr>
          <w:rFonts w:ascii="Times New Roman" w:hAnsi="Times New Roman"/>
          <w:szCs w:val="24"/>
          <w:lang w:val="en-US"/>
        </w:rPr>
        <w:t xml:space="preserve">The Policy goal is towards a better quality of life for present and future generations through sustainable management and use of the environment and natural resources. The objective of the policy among others is to ensure sustainable management of the environment and natural resources, such as unique terrestrial and aquatic ecosystems, for national economic growth and improved livelihoods. </w:t>
      </w:r>
    </w:p>
    <w:p w14:paraId="6B75825C">
      <w:pPr>
        <w:spacing w:line="240" w:lineRule="auto"/>
        <w:jc w:val="both"/>
        <w:rPr>
          <w:rFonts w:ascii="Times New Roman" w:hAnsi="Times New Roman"/>
          <w:szCs w:val="24"/>
          <w:lang w:val="en-US"/>
        </w:rPr>
      </w:pPr>
      <w:r>
        <w:rPr>
          <w:rFonts w:ascii="Times New Roman" w:hAnsi="Times New Roman"/>
          <w:szCs w:val="24"/>
          <w:lang w:val="en-US"/>
        </w:rPr>
        <w:t xml:space="preserve">Applicability; </w:t>
      </w:r>
      <w:r>
        <w:rPr>
          <w:rFonts w:ascii="Times New Roman" w:hAnsi="Times New Roman"/>
          <w:szCs w:val="24"/>
        </w:rPr>
        <w:t>The facility will incorporate appropriate sewerage and containment systems to prevent seepage of wastewater into soil and groundwater resources, thereby minimizing the risk of contamination. This contributes to the protection of both human health and aquatic and terrestrial ecosystems, in line with the policy’s goal of sustainable management and use of environmental and natural resources.</w:t>
      </w:r>
    </w:p>
    <w:p w14:paraId="1616F790">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394" w:name="_Toc189054385"/>
      <w:r>
        <w:rPr>
          <w:rFonts w:ascii="Times New Roman" w:hAnsi="Times New Roman"/>
          <w:b/>
          <w:lang w:val="en-US"/>
        </w:rPr>
        <w:t xml:space="preserve"> </w:t>
      </w:r>
      <w:bookmarkStart w:id="395" w:name="_Toc26138"/>
      <w:bookmarkStart w:id="396" w:name="_Toc220710827"/>
      <w:bookmarkStart w:id="397" w:name="_Toc29582"/>
      <w:bookmarkStart w:id="398" w:name="_Toc3666"/>
      <w:r>
        <w:rPr>
          <w:rFonts w:ascii="Times New Roman" w:hAnsi="Times New Roman"/>
          <w:b/>
          <w:lang w:val="en-US"/>
        </w:rPr>
        <w:t>Kenya Vision 2030</w:t>
      </w:r>
      <w:bookmarkEnd w:id="394"/>
      <w:bookmarkEnd w:id="395"/>
      <w:bookmarkEnd w:id="396"/>
      <w:bookmarkEnd w:id="397"/>
      <w:bookmarkEnd w:id="398"/>
    </w:p>
    <w:p w14:paraId="0A2417C6">
      <w:pPr>
        <w:spacing w:line="240" w:lineRule="auto"/>
        <w:jc w:val="both"/>
        <w:rPr>
          <w:rFonts w:ascii="Times New Roman" w:hAnsi="Times New Roman"/>
          <w:szCs w:val="24"/>
          <w:lang w:val="en-US"/>
        </w:rPr>
      </w:pPr>
      <w:r>
        <w:rPr>
          <w:rFonts w:ascii="Times New Roman" w:hAnsi="Times New Roman"/>
          <w:szCs w:val="24"/>
          <w:lang w:val="en-US"/>
        </w:rPr>
        <w:t>The Kenya Vision 2030 is the current National Development blueprint for period 2008 to 2030. The vision has three pillars; economic, social and political. It is recognized that Kenya is a water scarce Country but stated (Kenya, 2007: 115) that the Vision for the water and sanitation sector is “to ensure water and improved sanitation services availability</w:t>
      </w:r>
    </w:p>
    <w:p w14:paraId="25B0ACD8">
      <w:pPr>
        <w:spacing w:line="240" w:lineRule="auto"/>
        <w:jc w:val="both"/>
        <w:rPr>
          <w:rFonts w:ascii="Times New Roman" w:hAnsi="Times New Roman"/>
          <w:szCs w:val="24"/>
          <w:lang w:val="en-US"/>
        </w:rPr>
      </w:pPr>
      <w:r>
        <w:rPr>
          <w:rFonts w:ascii="Times New Roman" w:hAnsi="Times New Roman"/>
          <w:szCs w:val="24"/>
          <w:lang w:val="en-US"/>
        </w:rPr>
        <w:t>Applicability; The Project will directly contribute towards achievement the Kenya 2030 vision objectives under the environment and social pillar addressing it at a local level.</w:t>
      </w:r>
    </w:p>
    <w:p w14:paraId="05E3B0DD">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399" w:name="_Toc21032"/>
      <w:bookmarkStart w:id="400" w:name="_Toc189054386"/>
      <w:bookmarkStart w:id="401" w:name="_Toc220710828"/>
      <w:bookmarkStart w:id="402" w:name="_Toc738"/>
      <w:bookmarkStart w:id="403" w:name="_Toc13821"/>
      <w:r>
        <w:rPr>
          <w:rFonts w:ascii="Times New Roman" w:hAnsi="Times New Roman"/>
          <w:b/>
          <w:lang w:val="en-US"/>
        </w:rPr>
        <w:t>The National Environmental Sanitation and Hygiene Policy-July 2007</w:t>
      </w:r>
      <w:bookmarkEnd w:id="399"/>
      <w:bookmarkEnd w:id="400"/>
      <w:bookmarkEnd w:id="401"/>
      <w:bookmarkEnd w:id="402"/>
      <w:bookmarkEnd w:id="403"/>
    </w:p>
    <w:p w14:paraId="0B04D253">
      <w:pPr>
        <w:spacing w:line="240" w:lineRule="auto"/>
        <w:jc w:val="both"/>
        <w:rPr>
          <w:rFonts w:ascii="Times New Roman" w:hAnsi="Times New Roman"/>
          <w:szCs w:val="24"/>
          <w:lang w:val="en-US"/>
        </w:rPr>
      </w:pPr>
      <w:r>
        <w:rPr>
          <w:rFonts w:ascii="Times New Roman" w:hAnsi="Times New Roman"/>
          <w:szCs w:val="24"/>
          <w:lang w:val="en-US"/>
        </w:rPr>
        <w:t xml:space="preserve">The Policy is devoted to environmental sanitation and hygiene in Kenya as a major contribution to the dignity, health, welfare, social well-being and prosperity of all Kenyan residents. The Policy recognizes that healthy and hygienic behaviour and practices begin with the individual. </w:t>
      </w:r>
    </w:p>
    <w:p w14:paraId="53056AEE">
      <w:pPr>
        <w:spacing w:line="240" w:lineRule="auto"/>
        <w:jc w:val="both"/>
        <w:rPr>
          <w:rFonts w:ascii="Times New Roman" w:hAnsi="Times New Roman"/>
          <w:szCs w:val="24"/>
          <w:lang w:val="en-US"/>
        </w:rPr>
      </w:pPr>
      <w:r>
        <w:rPr>
          <w:rFonts w:ascii="Times New Roman" w:hAnsi="Times New Roman"/>
          <w:szCs w:val="24"/>
          <w:lang w:val="en-US"/>
        </w:rPr>
        <w:t xml:space="preserve">The implementation of the Policy will greatly increase the demand for sanitation, hygiene, food safety, improved housing, use of safe drinking water, waste management, vector control at the household level and encourage communities to take responsibility for improving the sanitary conditions of their immediate environment. </w:t>
      </w:r>
    </w:p>
    <w:p w14:paraId="11E40FD2">
      <w:pPr>
        <w:pStyle w:val="4"/>
        <w:numPr>
          <w:ilvl w:val="2"/>
          <w:numId w:val="33"/>
        </w:numPr>
        <w:shd w:val="clear" w:color="auto" w:fill="auto"/>
        <w:spacing w:line="240" w:lineRule="auto"/>
        <w:rPr>
          <w:rFonts w:ascii="Times New Roman" w:hAnsi="Times New Roman"/>
          <w:b/>
          <w:lang w:val="en-US"/>
        </w:rPr>
      </w:pPr>
      <w:bookmarkStart w:id="404" w:name="_Toc220710829"/>
      <w:bookmarkStart w:id="405" w:name="_Toc189054389"/>
      <w:bookmarkStart w:id="406" w:name="_Toc23050"/>
      <w:bookmarkStart w:id="407" w:name="_Toc15367"/>
      <w:bookmarkStart w:id="408" w:name="_Toc19968"/>
      <w:r>
        <w:rPr>
          <w:rFonts w:ascii="Times New Roman" w:hAnsi="Times New Roman"/>
          <w:b/>
          <w:lang w:val="en-US"/>
        </w:rPr>
        <w:t>National Policy on Gender and Development, 2019</w:t>
      </w:r>
      <w:bookmarkEnd w:id="404"/>
      <w:bookmarkEnd w:id="405"/>
      <w:bookmarkEnd w:id="406"/>
      <w:bookmarkEnd w:id="407"/>
      <w:bookmarkEnd w:id="408"/>
      <w:r>
        <w:rPr>
          <w:rFonts w:ascii="Times New Roman" w:hAnsi="Times New Roman"/>
          <w:b/>
          <w:lang w:val="en-US"/>
        </w:rPr>
        <w:tab/>
      </w:r>
    </w:p>
    <w:p w14:paraId="753F9938">
      <w:pPr>
        <w:spacing w:line="240" w:lineRule="auto"/>
        <w:jc w:val="both"/>
        <w:rPr>
          <w:rFonts w:ascii="Times New Roman" w:hAnsi="Times New Roman"/>
          <w:szCs w:val="24"/>
          <w:lang w:val="en-US"/>
        </w:rPr>
      </w:pPr>
      <w:r>
        <w:rPr>
          <w:rFonts w:ascii="Times New Roman" w:hAnsi="Times New Roman"/>
          <w:szCs w:val="24"/>
          <w:lang w:val="en-US"/>
        </w:rPr>
        <w:t xml:space="preserve">The goal of the policy is to “achieve gender equality and women’s empowerment in national development so as to enhance participation of women and men, boys and girls, vulnerable and marginalized groups for the attainment of sustainable development”. The policy sets, legislative and administrative measures to address the existing gaps in the realization of gender equality and women’s empowerment. </w:t>
      </w:r>
    </w:p>
    <w:p w14:paraId="23E5E072">
      <w:pPr>
        <w:spacing w:line="240" w:lineRule="auto"/>
        <w:jc w:val="both"/>
        <w:rPr>
          <w:rFonts w:ascii="Times New Roman" w:hAnsi="Times New Roman"/>
          <w:b/>
          <w:szCs w:val="24"/>
          <w:lang w:val="en-US"/>
        </w:rPr>
      </w:pPr>
      <w:r>
        <w:rPr>
          <w:rFonts w:ascii="Times New Roman" w:hAnsi="Times New Roman"/>
          <w:szCs w:val="24"/>
          <w:lang w:val="en-US"/>
        </w:rPr>
        <w:t>Applicability; When hiring new employees for the project's implementation, the policy will be crucial. It will be put into place in coordination with the C-ESMP to make sure that the contractor offers equal job opportunities for all genders (Men and Women).</w:t>
      </w:r>
    </w:p>
    <w:p w14:paraId="44E04CDB">
      <w:pPr>
        <w:pStyle w:val="4"/>
        <w:numPr>
          <w:ilvl w:val="2"/>
          <w:numId w:val="33"/>
        </w:numPr>
        <w:shd w:val="clear" w:color="auto" w:fill="auto"/>
        <w:spacing w:line="240" w:lineRule="auto"/>
        <w:rPr>
          <w:rFonts w:ascii="Times New Roman" w:hAnsi="Times New Roman"/>
          <w:b/>
          <w:lang w:val="en-US"/>
        </w:rPr>
      </w:pPr>
      <w:bookmarkStart w:id="409" w:name="_Toc8645"/>
      <w:bookmarkStart w:id="410" w:name="_Toc23668"/>
      <w:bookmarkStart w:id="411" w:name="_Toc220710830"/>
      <w:bookmarkStart w:id="412" w:name="_Toc21942"/>
      <w:bookmarkStart w:id="413" w:name="_Toc189054390"/>
      <w:r>
        <w:rPr>
          <w:rFonts w:ascii="Times New Roman" w:hAnsi="Times New Roman"/>
          <w:b/>
          <w:lang w:val="en-US"/>
        </w:rPr>
        <w:t>National Policy for Prevention and Response to Gender-Based Violence, 2014</w:t>
      </w:r>
      <w:bookmarkEnd w:id="409"/>
      <w:bookmarkEnd w:id="410"/>
      <w:bookmarkEnd w:id="411"/>
      <w:bookmarkEnd w:id="412"/>
      <w:bookmarkEnd w:id="413"/>
    </w:p>
    <w:p w14:paraId="6BF1466C">
      <w:pPr>
        <w:spacing w:line="240" w:lineRule="auto"/>
        <w:jc w:val="both"/>
        <w:rPr>
          <w:rFonts w:ascii="Times New Roman" w:hAnsi="Times New Roman"/>
        </w:rPr>
      </w:pPr>
      <w:r>
        <w:rPr>
          <w:rFonts w:ascii="Times New Roman" w:hAnsi="Times New Roman"/>
        </w:rPr>
        <w:t>The overall goal of this National Policy is to accelerate efforts toward the elimination of all forms of Gender-Based Violence (GBV) in Kenya. This goal will be achieved through the key objectives of the policy, which aim to:</w:t>
      </w:r>
    </w:p>
    <w:p w14:paraId="22278769">
      <w:pPr>
        <w:spacing w:line="240" w:lineRule="auto"/>
        <w:jc w:val="both"/>
        <w:rPr>
          <w:rFonts w:ascii="Times New Roman" w:hAnsi="Times New Roman"/>
        </w:rPr>
      </w:pPr>
      <w:r>
        <w:rPr>
          <w:rFonts w:ascii="Times New Roman" w:hAnsi="Times New Roman"/>
        </w:rPr>
        <w:t>Ensure a coordinated approach to addressing GBV and promote effective programming;</w:t>
      </w:r>
    </w:p>
    <w:p w14:paraId="61828974">
      <w:pPr>
        <w:spacing w:line="240" w:lineRule="auto"/>
        <w:jc w:val="both"/>
        <w:rPr>
          <w:rFonts w:ascii="Times New Roman" w:hAnsi="Times New Roman"/>
        </w:rPr>
      </w:pPr>
      <w:r>
        <w:rPr>
          <w:rFonts w:ascii="Times New Roman" w:hAnsi="Times New Roman"/>
        </w:rPr>
        <w:t>Strengthen enforcement of laws and policies for GBV prevention and response;</w:t>
      </w:r>
    </w:p>
    <w:p w14:paraId="1BE51D11">
      <w:pPr>
        <w:spacing w:line="240" w:lineRule="auto"/>
        <w:jc w:val="both"/>
        <w:rPr>
          <w:rFonts w:ascii="Times New Roman" w:hAnsi="Times New Roman"/>
        </w:rPr>
      </w:pPr>
      <w:r>
        <w:rPr>
          <w:rFonts w:ascii="Times New Roman" w:hAnsi="Times New Roman"/>
        </w:rPr>
        <w:t>Increase access to quality and comprehensive survivor referral pathways across sectors; and Improve the sustainability of GBV prevention and response interventions.</w:t>
      </w:r>
    </w:p>
    <w:p w14:paraId="3F98E0DB">
      <w:pPr>
        <w:spacing w:line="240" w:lineRule="auto"/>
        <w:jc w:val="both"/>
        <w:rPr>
          <w:rFonts w:ascii="Times New Roman" w:hAnsi="Times New Roman"/>
        </w:rPr>
      </w:pPr>
      <w:r>
        <w:rPr>
          <w:rFonts w:ascii="Times New Roman" w:hAnsi="Times New Roman"/>
        </w:rPr>
        <w:t>Applicability: All provisions of this policy shall be adhered to. The Contractor is required to comply with the provisions of the Contractor’s Environmental and Social Management Plan (C-ESMP), which includes a Gender Action Plan to support GBV prevention and response measures during project implementation.</w:t>
      </w:r>
    </w:p>
    <w:p w14:paraId="7CB19F02">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r>
        <w:rPr>
          <w:rFonts w:ascii="Times New Roman" w:hAnsi="Times New Roman"/>
          <w:b/>
          <w:lang w:val="en-US"/>
        </w:rPr>
        <w:t>Kenya National Youth Development Policy (2019)</w:t>
      </w:r>
    </w:p>
    <w:p w14:paraId="2D3EAF37">
      <w:pPr>
        <w:rPr>
          <w:rFonts w:ascii="Times New Roman" w:hAnsi="Times New Roman"/>
          <w:lang w:val="en-US"/>
        </w:rPr>
      </w:pPr>
      <w:r>
        <w:rPr>
          <w:rFonts w:ascii="Times New Roman" w:hAnsi="Times New Roman"/>
          <w:lang w:val="en-US"/>
        </w:rPr>
        <w:t>This policy focuses on promoting youth empowerment through employment creation, participation in development, access to basic services, and improved health.</w:t>
      </w:r>
    </w:p>
    <w:p w14:paraId="052C4282">
      <w:pPr>
        <w:rPr>
          <w:rFonts w:ascii="Times New Roman" w:hAnsi="Times New Roman"/>
          <w:lang w:val="en-US"/>
        </w:rPr>
      </w:pPr>
      <w:r>
        <w:rPr>
          <w:rFonts w:ascii="Times New Roman" w:hAnsi="Times New Roman"/>
          <w:lang w:val="en-US"/>
        </w:rPr>
        <w:t xml:space="preserve">Applicability: The ablution block will provide </w:t>
      </w:r>
      <w:r>
        <w:rPr>
          <w:rFonts w:ascii="Times New Roman" w:hAnsi="Times New Roman"/>
        </w:rPr>
        <w:t>opportunities for youth employment and skills development in construction and maintenance activities</w:t>
      </w:r>
    </w:p>
    <w:p w14:paraId="66F6F691">
      <w:pPr>
        <w:pStyle w:val="3"/>
        <w:spacing w:line="240" w:lineRule="auto"/>
        <w:rPr>
          <w:rFonts w:ascii="Times New Roman" w:hAnsi="Times New Roman" w:cs="Times New Roman"/>
          <w:b w:val="0"/>
          <w:sz w:val="24"/>
          <w:szCs w:val="24"/>
        </w:rPr>
      </w:pPr>
      <w:bookmarkStart w:id="414" w:name="_Toc189054391"/>
      <w:bookmarkStart w:id="415" w:name="_Toc220710831"/>
      <w:bookmarkStart w:id="416" w:name="_Toc23311"/>
      <w:bookmarkStart w:id="417" w:name="_Toc3361"/>
      <w:bookmarkStart w:id="418" w:name="_Toc1863"/>
      <w:r>
        <w:rPr>
          <w:rFonts w:ascii="Times New Roman" w:hAnsi="Times New Roman" w:cs="Times New Roman"/>
          <w:sz w:val="24"/>
          <w:szCs w:val="24"/>
        </w:rPr>
        <w:t>6.2</w:t>
      </w:r>
      <w:r>
        <w:rPr>
          <w:rFonts w:ascii="Times New Roman" w:hAnsi="Times New Roman" w:cs="Times New Roman"/>
          <w:sz w:val="24"/>
          <w:szCs w:val="24"/>
        </w:rPr>
        <w:tab/>
      </w:r>
      <w:r>
        <w:rPr>
          <w:rFonts w:ascii="Times New Roman" w:hAnsi="Times New Roman" w:cs="Times New Roman"/>
          <w:sz w:val="24"/>
          <w:szCs w:val="24"/>
        </w:rPr>
        <w:t>Legal Framework</w:t>
      </w:r>
      <w:bookmarkEnd w:id="414"/>
      <w:bookmarkEnd w:id="415"/>
      <w:bookmarkEnd w:id="416"/>
      <w:bookmarkEnd w:id="417"/>
      <w:bookmarkEnd w:id="418"/>
    </w:p>
    <w:p w14:paraId="2B5DFDAE">
      <w:pPr>
        <w:pStyle w:val="4"/>
        <w:numPr>
          <w:ilvl w:val="0"/>
          <w:numId w:val="0"/>
        </w:numPr>
        <w:pBdr>
          <w:bottom w:val="dashed" w:color="auto" w:sz="4" w:space="0"/>
        </w:pBdr>
        <w:shd w:val="clear" w:color="auto" w:fill="auto"/>
        <w:spacing w:line="240" w:lineRule="auto"/>
        <w:ind w:left="720" w:hanging="720"/>
        <w:rPr>
          <w:rFonts w:ascii="Times New Roman" w:hAnsi="Times New Roman"/>
          <w:b/>
          <w:lang w:val="en-US"/>
        </w:rPr>
      </w:pPr>
      <w:bookmarkStart w:id="419" w:name="_Toc220710832"/>
      <w:bookmarkStart w:id="420" w:name="_Toc8528"/>
      <w:bookmarkStart w:id="421" w:name="_Toc23128"/>
      <w:bookmarkStart w:id="422" w:name="_Toc11911"/>
      <w:bookmarkStart w:id="423" w:name="_Toc189054392"/>
      <w:r>
        <w:rPr>
          <w:rFonts w:ascii="Times New Roman" w:hAnsi="Times New Roman"/>
          <w:b/>
          <w:lang w:val="en-US"/>
        </w:rPr>
        <w:t>6.2.1</w:t>
      </w:r>
      <w:r>
        <w:rPr>
          <w:rFonts w:ascii="Times New Roman" w:hAnsi="Times New Roman"/>
          <w:b/>
          <w:lang w:val="en-US"/>
        </w:rPr>
        <w:tab/>
      </w:r>
      <w:r>
        <w:rPr>
          <w:rFonts w:ascii="Times New Roman" w:hAnsi="Times New Roman"/>
          <w:b/>
          <w:lang w:val="en-US"/>
        </w:rPr>
        <w:t xml:space="preserve">Environmental Management and Coordination Act of 1999 (EMCA) and </w:t>
      </w:r>
      <w:r>
        <w:rPr>
          <w:rFonts w:ascii="Times New Roman" w:hAnsi="Times New Roman"/>
          <w:b/>
          <w:bCs/>
          <w:lang w:val="en-US"/>
        </w:rPr>
        <w:t>Environmental Management and Coordination (Amendment) Act 2015</w:t>
      </w:r>
      <w:bookmarkEnd w:id="419"/>
      <w:bookmarkEnd w:id="420"/>
      <w:bookmarkEnd w:id="421"/>
      <w:bookmarkEnd w:id="422"/>
      <w:bookmarkEnd w:id="423"/>
      <w:r>
        <w:rPr>
          <w:rFonts w:ascii="Times New Roman" w:hAnsi="Times New Roman"/>
          <w:b/>
          <w:bCs/>
          <w:lang w:val="en-US"/>
        </w:rPr>
        <w:tab/>
      </w:r>
    </w:p>
    <w:p w14:paraId="4FD9D05B">
      <w:pPr>
        <w:spacing w:line="240" w:lineRule="auto"/>
        <w:jc w:val="both"/>
        <w:rPr>
          <w:rFonts w:ascii="Times New Roman" w:hAnsi="Times New Roman"/>
          <w:szCs w:val="24"/>
          <w:lang w:val="en-US"/>
        </w:rPr>
      </w:pPr>
      <w:r>
        <w:rPr>
          <w:rFonts w:ascii="Times New Roman" w:hAnsi="Times New Roman"/>
          <w:szCs w:val="24"/>
          <w:lang w:val="en-US"/>
        </w:rPr>
        <w:t xml:space="preserve">The Environmental Management and Coordination Act of 1999 (EMCA) Cap 387 was enacted to provide an appropriate legal and institutional framework for the management of the environment and for matters connected therewith and incidental thereto. EMCA does not repeal the sectoral legislation but seeks to coordinate the activities of the various institutions tasked to regulate the various sectors. These institutions are referred to as Lead Agencies in EMCA. Lead Agencies are defined in Section 2 as any Government ministry, department, parastatal, and State Corporation or local authority in which any law vests functions of control or management of any element of the environment or natural resource. </w:t>
      </w:r>
    </w:p>
    <w:p w14:paraId="721B0C38">
      <w:pPr>
        <w:spacing w:line="240" w:lineRule="auto"/>
        <w:jc w:val="both"/>
        <w:rPr>
          <w:rFonts w:ascii="Times New Roman" w:hAnsi="Times New Roman"/>
          <w:szCs w:val="24"/>
          <w:lang w:val="en-US"/>
        </w:rPr>
      </w:pPr>
      <w:r>
        <w:rPr>
          <w:rFonts w:ascii="Times New Roman" w:hAnsi="Times New Roman"/>
          <w:szCs w:val="24"/>
          <w:lang w:val="en-US"/>
        </w:rPr>
        <w:t>EMCA and its subsidiary legislations are enforced by the National Environment Management Authority (NEMA).  Section 58, all projects listed in the Second Schedule of the Act must submit a study report to NEMA.</w:t>
      </w:r>
      <w:r>
        <w:rPr>
          <w:rFonts w:ascii="Times New Roman" w:hAnsi="Times New Roman"/>
          <w:szCs w:val="24"/>
          <w:lang w:val="en-US"/>
        </w:rPr>
        <w:tab/>
      </w:r>
    </w:p>
    <w:p w14:paraId="12B0C665">
      <w:pPr>
        <w:spacing w:line="240" w:lineRule="auto"/>
        <w:jc w:val="both"/>
        <w:rPr>
          <w:rFonts w:ascii="Times New Roman" w:hAnsi="Times New Roman"/>
          <w:szCs w:val="24"/>
          <w:lang w:val="en-US"/>
        </w:rPr>
      </w:pPr>
      <w:r>
        <w:rPr>
          <w:rFonts w:ascii="Times New Roman" w:hAnsi="Times New Roman"/>
          <w:szCs w:val="24"/>
          <w:lang w:val="en-US"/>
        </w:rPr>
        <w:t>Applicability: The proposed project components are classified under low-risk project in the Second Schedule of 1999 Cap 387 and EMCA (Amendment) Act 2015. Appropriate mitigation measures are included in the project’s ESMP in the ESIA for implementation.</w:t>
      </w:r>
    </w:p>
    <w:p w14:paraId="22B7C285">
      <w:pPr>
        <w:pStyle w:val="4"/>
        <w:numPr>
          <w:ilvl w:val="0"/>
          <w:numId w:val="0"/>
        </w:numPr>
        <w:pBdr>
          <w:bottom w:val="dashed" w:color="auto" w:sz="4" w:space="0"/>
        </w:pBdr>
        <w:shd w:val="clear" w:color="auto" w:fill="auto"/>
        <w:spacing w:line="240" w:lineRule="auto"/>
        <w:ind w:left="720" w:hanging="720"/>
        <w:rPr>
          <w:rFonts w:ascii="Times New Roman" w:hAnsi="Times New Roman"/>
          <w:b/>
          <w:lang w:val="en-US"/>
        </w:rPr>
      </w:pPr>
      <w:bookmarkStart w:id="424" w:name="_Toc7876"/>
      <w:bookmarkStart w:id="425" w:name="_Toc220710833"/>
      <w:bookmarkStart w:id="426" w:name="_Toc189054393"/>
      <w:bookmarkStart w:id="427" w:name="_Toc29815"/>
      <w:bookmarkStart w:id="428" w:name="_Toc18472"/>
      <w:r>
        <w:rPr>
          <w:rFonts w:ascii="Times New Roman" w:hAnsi="Times New Roman"/>
          <w:b/>
          <w:lang w:val="en-US"/>
        </w:rPr>
        <w:t>6.2.2</w:t>
      </w:r>
      <w:r>
        <w:rPr>
          <w:rFonts w:ascii="Times New Roman" w:hAnsi="Times New Roman"/>
          <w:b/>
          <w:lang w:val="en-US"/>
        </w:rPr>
        <w:tab/>
      </w:r>
      <w:r>
        <w:rPr>
          <w:rFonts w:ascii="Times New Roman" w:hAnsi="Times New Roman"/>
          <w:b/>
          <w:lang w:val="en-US"/>
        </w:rPr>
        <w:t>Environment and Land Court Act, 2011</w:t>
      </w:r>
      <w:bookmarkEnd w:id="424"/>
      <w:bookmarkEnd w:id="425"/>
      <w:bookmarkEnd w:id="426"/>
      <w:bookmarkEnd w:id="427"/>
      <w:bookmarkEnd w:id="428"/>
    </w:p>
    <w:p w14:paraId="7EAE3A22">
      <w:pPr>
        <w:spacing w:line="240" w:lineRule="auto"/>
        <w:jc w:val="both"/>
        <w:rPr>
          <w:rFonts w:ascii="Times New Roman" w:hAnsi="Times New Roman"/>
          <w:szCs w:val="24"/>
          <w:lang w:val="en-US"/>
        </w:rPr>
      </w:pPr>
      <w:r>
        <w:rPr>
          <w:rFonts w:ascii="Times New Roman" w:hAnsi="Times New Roman"/>
          <w:szCs w:val="24"/>
          <w:lang w:val="en-US"/>
        </w:rPr>
        <w:t xml:space="preserve">Article 162 of the constitution provides for the creation of specialized courts to handle all matters on land and the environment. Such a court will have the status and powers of a High Court in every respect.  Article 159 on the principles of judicial authority, indicates that courts will endeavor to encourage application of alternative dispute resolution mechanisms, including traditional ones, so long as they are consistent with the constitution.  </w:t>
      </w:r>
    </w:p>
    <w:p w14:paraId="7CF9380A">
      <w:pPr>
        <w:spacing w:line="240" w:lineRule="auto"/>
        <w:jc w:val="both"/>
        <w:rPr>
          <w:rFonts w:ascii="Times New Roman" w:hAnsi="Times New Roman"/>
          <w:szCs w:val="24"/>
          <w:lang w:val="en-US"/>
        </w:rPr>
      </w:pPr>
      <w:r>
        <w:rPr>
          <w:rFonts w:ascii="Times New Roman" w:hAnsi="Times New Roman"/>
          <w:szCs w:val="24"/>
          <w:lang w:val="en-US"/>
        </w:rPr>
        <w:t>Section 20, of the Environment and Land Court Act, 2011 empowers the Environment and Land Court, on its own motion, or on application of the parties to a dispute, to direct the application of alternative dispute resolution, including traditional dispute resolution mechanisms.  The act will be useful in provision of guidelines on resolving disputes that might arise related to land or environment.</w:t>
      </w:r>
    </w:p>
    <w:p w14:paraId="7FE7C40D">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29" w:name="_Toc601"/>
      <w:bookmarkStart w:id="430" w:name="_Toc3726"/>
      <w:bookmarkStart w:id="431" w:name="_Toc14051"/>
      <w:bookmarkStart w:id="432" w:name="_Toc220710834"/>
      <w:bookmarkStart w:id="433" w:name="_Toc189054394"/>
      <w:r>
        <w:rPr>
          <w:rFonts w:ascii="Times New Roman" w:hAnsi="Times New Roman"/>
          <w:b/>
          <w:lang w:val="en-US"/>
        </w:rPr>
        <w:t>Land Act, 2012</w:t>
      </w:r>
      <w:bookmarkEnd w:id="429"/>
      <w:bookmarkEnd w:id="430"/>
      <w:bookmarkEnd w:id="431"/>
      <w:bookmarkEnd w:id="432"/>
      <w:bookmarkEnd w:id="433"/>
    </w:p>
    <w:p w14:paraId="795920A1">
      <w:pPr>
        <w:spacing w:line="240" w:lineRule="auto"/>
        <w:jc w:val="both"/>
        <w:rPr>
          <w:rFonts w:ascii="Times New Roman" w:hAnsi="Times New Roman"/>
          <w:szCs w:val="24"/>
          <w:lang w:val="en-US"/>
        </w:rPr>
      </w:pPr>
      <w:r>
        <w:rPr>
          <w:rFonts w:ascii="Times New Roman" w:hAnsi="Times New Roman"/>
          <w:szCs w:val="24"/>
          <w:lang w:val="en-US"/>
        </w:rPr>
        <w:t xml:space="preserve">It is the substantive law governing land in Kenya and provides legal regime over administration of public and private lands. It also provides for the acquisition of land for public benefit. The government has the powers under this Act to acquire land for projects, which are intended to benefit the public. </w:t>
      </w:r>
    </w:p>
    <w:p w14:paraId="6B45AEB5">
      <w:pPr>
        <w:spacing w:line="240" w:lineRule="auto"/>
        <w:jc w:val="both"/>
        <w:rPr>
          <w:rFonts w:ascii="Times New Roman" w:hAnsi="Times New Roman"/>
          <w:szCs w:val="24"/>
          <w:lang w:val="en-US"/>
        </w:rPr>
      </w:pPr>
      <w:r>
        <w:rPr>
          <w:rFonts w:ascii="Times New Roman" w:hAnsi="Times New Roman"/>
          <w:szCs w:val="24"/>
          <w:lang w:val="en-US"/>
        </w:rPr>
        <w:t xml:space="preserve">This Act provides for the procedure to be followed during compulsory acquisition of land by the Government and the just compensation which should be paid promptly and in full to all persons whose interest in land has been affected.  </w:t>
      </w:r>
      <w:r>
        <w:rPr>
          <w:rFonts w:ascii="Times New Roman" w:hAnsi="Times New Roman"/>
          <w:szCs w:val="24"/>
          <w:lang w:val="en-US"/>
        </w:rPr>
        <w:tab/>
      </w:r>
    </w:p>
    <w:p w14:paraId="6B4C3715">
      <w:pPr>
        <w:spacing w:line="240" w:lineRule="auto"/>
        <w:jc w:val="both"/>
        <w:rPr>
          <w:rFonts w:ascii="Times New Roman" w:hAnsi="Times New Roman"/>
          <w:szCs w:val="24"/>
        </w:rPr>
      </w:pPr>
      <w:r>
        <w:rPr>
          <w:rFonts w:ascii="Times New Roman" w:hAnsi="Times New Roman"/>
          <w:szCs w:val="24"/>
          <w:lang w:val="en-US"/>
        </w:rPr>
        <w:t xml:space="preserve">Applicability; </w:t>
      </w:r>
      <w:r>
        <w:rPr>
          <w:rFonts w:ascii="Times New Roman" w:hAnsi="Times New Roman"/>
          <w:szCs w:val="24"/>
        </w:rPr>
        <w:t>The proposed project site is located on public land owned by the County Government of Kilifi and allocated to KIMAWASCO for the development of the ablution block in line with its mandate as a water and sanitation service provider. The land has been legally set aside for public utility use, and no compulsory acquisition is required for the implementation of the project</w:t>
      </w:r>
      <w:r>
        <w:rPr>
          <w:rFonts w:ascii="Times New Roman" w:hAnsi="Times New Roman"/>
          <w:b/>
          <w:bCs/>
          <w:i/>
          <w:iCs/>
          <w:szCs w:val="24"/>
        </w:rPr>
        <w:t>.(Approved PDP for the site is attached in Appendix D.)</w:t>
      </w:r>
    </w:p>
    <w:p w14:paraId="65EA1F08">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34" w:name="_Toc189054395"/>
      <w:bookmarkStart w:id="435" w:name="_Toc22683"/>
      <w:bookmarkStart w:id="436" w:name="_Toc220710835"/>
      <w:bookmarkStart w:id="437" w:name="_Toc15455"/>
      <w:bookmarkStart w:id="438" w:name="_Toc16737"/>
      <w:r>
        <w:rPr>
          <w:rFonts w:ascii="Times New Roman" w:hAnsi="Times New Roman"/>
          <w:b/>
          <w:lang w:val="en-US"/>
        </w:rPr>
        <w:t>County Government Act No. 17 of 2012</w:t>
      </w:r>
      <w:bookmarkEnd w:id="434"/>
      <w:bookmarkEnd w:id="435"/>
      <w:bookmarkEnd w:id="436"/>
      <w:bookmarkEnd w:id="437"/>
      <w:bookmarkEnd w:id="438"/>
    </w:p>
    <w:p w14:paraId="61B5603A">
      <w:pPr>
        <w:spacing w:line="240" w:lineRule="auto"/>
        <w:jc w:val="both"/>
        <w:rPr>
          <w:rFonts w:ascii="Times New Roman" w:hAnsi="Times New Roman"/>
          <w:szCs w:val="24"/>
          <w:lang w:val="en-US"/>
        </w:rPr>
      </w:pPr>
      <w:r>
        <w:rPr>
          <w:rFonts w:ascii="Times New Roman" w:hAnsi="Times New Roman"/>
          <w:szCs w:val="24"/>
          <w:lang w:val="en-US"/>
        </w:rPr>
        <w:t xml:space="preserve">It states that, ‘An Act of Parliament to give effect to Chapter Eleven of the Constitution; to provide for county governments’ powers, functions and responsibilities to deliver services and for connected purposes. Part II elaborate on the functions and powers of the county government, emphasizing its constitutional authority to enter contracts, acquire and hold and dispose of assets, and delegate functions, such as through sub-contracts and partnerships. </w:t>
      </w:r>
    </w:p>
    <w:p w14:paraId="0639879C">
      <w:pPr>
        <w:spacing w:line="240" w:lineRule="auto"/>
        <w:jc w:val="both"/>
        <w:rPr>
          <w:rFonts w:ascii="Times New Roman" w:hAnsi="Times New Roman"/>
          <w:szCs w:val="24"/>
          <w:lang w:val="en-US"/>
        </w:rPr>
      </w:pPr>
      <w:r>
        <w:rPr>
          <w:rFonts w:ascii="Times New Roman" w:hAnsi="Times New Roman"/>
          <w:szCs w:val="24"/>
          <w:lang w:val="en-US"/>
        </w:rPr>
        <w:t>Part VI considers administration of decentralization to the sub-county level, including to urban areas and cities.</w:t>
      </w:r>
    </w:p>
    <w:p w14:paraId="68142CC8">
      <w:pPr>
        <w:spacing w:line="240" w:lineRule="auto"/>
        <w:jc w:val="both"/>
        <w:rPr>
          <w:rFonts w:ascii="Times New Roman" w:hAnsi="Times New Roman"/>
          <w:szCs w:val="24"/>
          <w:lang w:val="en-US"/>
        </w:rPr>
      </w:pPr>
      <w:r>
        <w:rPr>
          <w:rFonts w:ascii="Times New Roman" w:hAnsi="Times New Roman"/>
          <w:szCs w:val="24"/>
          <w:lang w:val="en-US"/>
        </w:rPr>
        <w:t xml:space="preserve">The County Government Act, 2012, provides the basis for spatial plans as statutory requirements in the county. The Act stipulates a 10-year spatial plan be developed by each county to provide for: </w:t>
      </w:r>
    </w:p>
    <w:p w14:paraId="6906EEF0">
      <w:pPr>
        <w:spacing w:line="240" w:lineRule="auto"/>
        <w:jc w:val="both"/>
        <w:rPr>
          <w:rFonts w:ascii="Times New Roman" w:hAnsi="Times New Roman"/>
          <w:szCs w:val="24"/>
          <w:lang w:val="en-US"/>
        </w:rPr>
      </w:pPr>
      <w:r>
        <w:rPr>
          <w:rFonts w:ascii="Times New Roman" w:hAnsi="Times New Roman"/>
          <w:szCs w:val="24"/>
          <w:lang w:val="en-US"/>
        </w:rPr>
        <w:t xml:space="preserve">Spatial depiction of the social and economic development programme of the county as articulated in the integrated county development plan; </w:t>
      </w:r>
    </w:p>
    <w:p w14:paraId="4A0957CF">
      <w:pPr>
        <w:spacing w:line="240" w:lineRule="auto"/>
        <w:jc w:val="both"/>
        <w:rPr>
          <w:rFonts w:ascii="Times New Roman" w:hAnsi="Times New Roman"/>
          <w:szCs w:val="24"/>
          <w:lang w:val="en-US"/>
        </w:rPr>
      </w:pPr>
      <w:r>
        <w:rPr>
          <w:rFonts w:ascii="Times New Roman" w:hAnsi="Times New Roman"/>
          <w:szCs w:val="24"/>
          <w:lang w:val="en-US"/>
        </w:rPr>
        <w:t xml:space="preserve">A clear statement of how the spatial plan is linked to the regional, national and other county plans; and </w:t>
      </w:r>
    </w:p>
    <w:p w14:paraId="637A8C3E">
      <w:pPr>
        <w:spacing w:line="240" w:lineRule="auto"/>
        <w:jc w:val="both"/>
        <w:rPr>
          <w:rFonts w:ascii="Times New Roman" w:hAnsi="Times New Roman"/>
          <w:szCs w:val="24"/>
          <w:lang w:val="en-US"/>
        </w:rPr>
      </w:pPr>
      <w:r>
        <w:rPr>
          <w:rFonts w:ascii="Times New Roman" w:hAnsi="Times New Roman"/>
          <w:szCs w:val="24"/>
          <w:lang w:val="en-US"/>
        </w:rPr>
        <w:t xml:space="preserve">A clear clarification on the anticipated sustainable development outcomes of the spatial plan. </w:t>
      </w:r>
    </w:p>
    <w:p w14:paraId="6F6323E0">
      <w:pPr>
        <w:spacing w:line="240" w:lineRule="auto"/>
        <w:jc w:val="both"/>
        <w:rPr>
          <w:rFonts w:ascii="Times New Roman" w:hAnsi="Times New Roman"/>
          <w:szCs w:val="24"/>
          <w:lang w:val="en-US"/>
        </w:rPr>
      </w:pPr>
      <w:r>
        <w:rPr>
          <w:rFonts w:ascii="Times New Roman" w:hAnsi="Times New Roman"/>
          <w:szCs w:val="24"/>
          <w:lang w:val="en-US"/>
        </w:rPr>
        <w:t xml:space="preserve">Applicability; PART VIII of the Act provided for Citizen Participation principles which include timely access to information, data, documents, and other information relevant or related to policy formulation and implementation among others. Similarly, implementation of the proposed project is being done through sustained public participation as provided for by this Act. </w:t>
      </w:r>
    </w:p>
    <w:p w14:paraId="49644428">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39" w:name="_Toc16206"/>
      <w:bookmarkStart w:id="440" w:name="_Toc4591"/>
      <w:bookmarkStart w:id="441" w:name="_Toc220710836"/>
      <w:bookmarkStart w:id="442" w:name="_Toc189054396"/>
      <w:bookmarkStart w:id="443" w:name="_Toc8870"/>
      <w:r>
        <w:rPr>
          <w:rFonts w:ascii="Times New Roman" w:hAnsi="Times New Roman"/>
          <w:b/>
          <w:lang w:val="en-US"/>
        </w:rPr>
        <w:t>Physical and Land Use Planning Act 2019</w:t>
      </w:r>
      <w:bookmarkEnd w:id="439"/>
      <w:bookmarkEnd w:id="440"/>
      <w:bookmarkEnd w:id="441"/>
      <w:bookmarkEnd w:id="442"/>
      <w:bookmarkEnd w:id="443"/>
      <w:r>
        <w:rPr>
          <w:rFonts w:ascii="Times New Roman" w:hAnsi="Times New Roman"/>
          <w:b/>
          <w:lang w:val="en-US"/>
        </w:rPr>
        <w:tab/>
      </w:r>
    </w:p>
    <w:p w14:paraId="1F586588">
      <w:pPr>
        <w:spacing w:line="240" w:lineRule="auto"/>
        <w:jc w:val="both"/>
        <w:rPr>
          <w:rFonts w:ascii="Times New Roman" w:hAnsi="Times New Roman"/>
        </w:rPr>
      </w:pPr>
      <w:r>
        <w:rPr>
          <w:rFonts w:ascii="Times New Roman" w:hAnsi="Times New Roman"/>
        </w:rPr>
        <w:t>Part IV of the Act outlines the objectives of development control, which are to:</w:t>
      </w:r>
    </w:p>
    <w:p w14:paraId="1D3BCA88">
      <w:pPr>
        <w:spacing w:line="240" w:lineRule="auto"/>
        <w:jc w:val="both"/>
        <w:rPr>
          <w:rFonts w:ascii="Times New Roman" w:hAnsi="Times New Roman"/>
        </w:rPr>
      </w:pPr>
      <w:r>
        <w:rPr>
          <w:rFonts w:ascii="Times New Roman" w:hAnsi="Times New Roman"/>
        </w:rPr>
        <w:t>Ensure orderly physical and land use development;</w:t>
      </w:r>
    </w:p>
    <w:p w14:paraId="2D866A8B">
      <w:pPr>
        <w:spacing w:line="240" w:lineRule="auto"/>
        <w:jc w:val="both"/>
        <w:rPr>
          <w:rFonts w:ascii="Times New Roman" w:hAnsi="Times New Roman"/>
        </w:rPr>
      </w:pPr>
      <w:r>
        <w:rPr>
          <w:rFonts w:ascii="Times New Roman" w:hAnsi="Times New Roman"/>
        </w:rPr>
        <w:t>Ensure the proper execution and implementation of approved physical and land use development plans; and protect and conserve the environment.</w:t>
      </w:r>
    </w:p>
    <w:p w14:paraId="18B21597">
      <w:pPr>
        <w:spacing w:line="240" w:lineRule="auto"/>
        <w:jc w:val="both"/>
        <w:rPr>
          <w:rFonts w:ascii="Times New Roman" w:hAnsi="Times New Roman"/>
        </w:rPr>
      </w:pPr>
      <w:r>
        <w:rPr>
          <w:rFonts w:ascii="Times New Roman" w:hAnsi="Times New Roman"/>
        </w:rPr>
        <w:t>Further, Section 56 provides that, subject to the provisions of this Act, the Urban Areas and Cities Act, 2011, and the County Governments Act, 2012, county governments have the authority, within their areas of jurisdiction, to consider and approve all development applications and grant development permissions, among other responsibilities.</w:t>
      </w:r>
    </w:p>
    <w:p w14:paraId="02F2F316">
      <w:pPr>
        <w:spacing w:line="240" w:lineRule="auto"/>
        <w:jc w:val="both"/>
        <w:rPr>
          <w:rFonts w:ascii="Times New Roman" w:hAnsi="Times New Roman"/>
        </w:rPr>
      </w:pPr>
      <w:r>
        <w:rPr>
          <w:rFonts w:ascii="Times New Roman" w:hAnsi="Times New Roman"/>
        </w:rPr>
        <w:t>Applicability: In accordance with this Act, approvals, including land ownership documents (Appendix E), were obtained from the County Director of Physical Planning (Kilifi County) prior to commencement of the works discussed in this report. The project also adheres to the provisions of the Physical and Land Use Planning (Development Permission and Control) General Regulations, 2021, which provide detailed requirements for development approval and control.</w:t>
      </w:r>
    </w:p>
    <w:p w14:paraId="02B41F2F">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44" w:name="_Toc17811"/>
      <w:bookmarkStart w:id="445" w:name="_Toc3099"/>
      <w:bookmarkStart w:id="446" w:name="_Toc220710837"/>
      <w:bookmarkStart w:id="447" w:name="_Toc24645"/>
      <w:bookmarkStart w:id="448" w:name="_Toc189054397"/>
      <w:r>
        <w:rPr>
          <w:rFonts w:ascii="Times New Roman" w:hAnsi="Times New Roman"/>
          <w:b/>
          <w:lang w:val="en-US"/>
        </w:rPr>
        <w:t>Occupational Health and Safety Act (OSHA), 2007</w:t>
      </w:r>
      <w:bookmarkEnd w:id="444"/>
      <w:bookmarkEnd w:id="445"/>
      <w:bookmarkEnd w:id="446"/>
      <w:bookmarkEnd w:id="447"/>
      <w:bookmarkEnd w:id="448"/>
      <w:r>
        <w:rPr>
          <w:rFonts w:ascii="Times New Roman" w:hAnsi="Times New Roman"/>
          <w:b/>
          <w:lang w:val="en-US"/>
        </w:rPr>
        <w:tab/>
      </w:r>
    </w:p>
    <w:p w14:paraId="531D0752">
      <w:pPr>
        <w:spacing w:line="240" w:lineRule="auto"/>
        <w:jc w:val="both"/>
        <w:rPr>
          <w:rFonts w:ascii="Times New Roman" w:hAnsi="Times New Roman"/>
          <w:szCs w:val="24"/>
          <w:lang w:val="en-US"/>
        </w:rPr>
      </w:pPr>
      <w:r>
        <w:rPr>
          <w:rFonts w:ascii="Times New Roman" w:hAnsi="Times New Roman"/>
          <w:szCs w:val="24"/>
          <w:lang w:val="en-US"/>
        </w:rPr>
        <w:t>The Act provides Health and Safety (HS) Guidelines which shall be followed by both the Contractor and Supervising Consultant during implementation of the Project to avoid injuries and even loss of life to workers and neighboring community. OSHA is enforced by the directorate of occupational safety and health services (DOSHS).</w:t>
      </w:r>
    </w:p>
    <w:p w14:paraId="1BAEA5F1">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49" w:name="_Toc14965"/>
      <w:bookmarkStart w:id="450" w:name="_Toc10493"/>
      <w:bookmarkStart w:id="451" w:name="_Toc14700"/>
      <w:bookmarkStart w:id="452" w:name="_Toc189054398"/>
      <w:bookmarkStart w:id="453" w:name="_Toc220710838"/>
      <w:r>
        <w:rPr>
          <w:rFonts w:ascii="Times New Roman" w:hAnsi="Times New Roman"/>
          <w:b/>
          <w:lang w:val="en-US"/>
        </w:rPr>
        <w:t>HIV and AIDS Prevention and Control Act 2011</w:t>
      </w:r>
      <w:bookmarkEnd w:id="449"/>
      <w:bookmarkEnd w:id="450"/>
      <w:bookmarkEnd w:id="451"/>
      <w:bookmarkEnd w:id="452"/>
      <w:bookmarkEnd w:id="453"/>
    </w:p>
    <w:p w14:paraId="1620CE2B">
      <w:pPr>
        <w:spacing w:line="240" w:lineRule="auto"/>
        <w:jc w:val="both"/>
        <w:rPr>
          <w:rFonts w:ascii="Times New Roman" w:hAnsi="Times New Roman"/>
          <w:szCs w:val="24"/>
          <w:lang w:val="en-US"/>
        </w:rPr>
      </w:pPr>
      <w:r>
        <w:rPr>
          <w:rFonts w:ascii="Times New Roman" w:hAnsi="Times New Roman"/>
          <w:szCs w:val="24"/>
          <w:lang w:val="en-US"/>
        </w:rPr>
        <w:t>The objective and purpose of this Act is to (a) promote public awareness about the causes, modes of transmission, consequences, means of prevention and control of HIV and AIDS; (b) extend to every person suspected or known to be infected with HIV and AIDS full protection of his human rights and civil liberties. In compliance with this Act, the contractor must develop and implement an HIV/AIDS awareness action plan throughout the project period to promote education, prevention, and support initiatives.</w:t>
      </w:r>
    </w:p>
    <w:p w14:paraId="03920345">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54" w:name="_Toc29121"/>
      <w:bookmarkStart w:id="455" w:name="_Toc220710839"/>
      <w:bookmarkStart w:id="456" w:name="_Toc3263"/>
      <w:bookmarkStart w:id="457" w:name="_Toc29465"/>
      <w:bookmarkStart w:id="458" w:name="_Toc189054399"/>
      <w:r>
        <w:rPr>
          <w:rFonts w:ascii="Times New Roman" w:hAnsi="Times New Roman"/>
          <w:b/>
          <w:lang w:val="en-US"/>
        </w:rPr>
        <w:t>Sexual Offenses Act 2006</w:t>
      </w:r>
      <w:bookmarkEnd w:id="454"/>
      <w:bookmarkEnd w:id="455"/>
      <w:bookmarkEnd w:id="456"/>
      <w:bookmarkEnd w:id="457"/>
      <w:bookmarkEnd w:id="458"/>
    </w:p>
    <w:p w14:paraId="139411A9">
      <w:pPr>
        <w:spacing w:line="240" w:lineRule="auto"/>
        <w:jc w:val="both"/>
        <w:rPr>
          <w:rFonts w:ascii="Times New Roman" w:hAnsi="Times New Roman"/>
          <w:szCs w:val="24"/>
          <w:lang w:val="en-US"/>
        </w:rPr>
      </w:pPr>
      <w:r>
        <w:rPr>
          <w:rFonts w:ascii="Times New Roman" w:hAnsi="Times New Roman"/>
          <w:szCs w:val="24"/>
          <w:lang w:val="en-US"/>
        </w:rPr>
        <w:t>An Act of Parliament that makes provision about sexual offences aims at prevention and the protection of all persons from harm from unlawful sexual acts and for connected purposes.  Sections 15, 17 and 18 focus mainly on sexual offenses on minors (children).</w:t>
      </w:r>
    </w:p>
    <w:p w14:paraId="32763E96">
      <w:pPr>
        <w:spacing w:line="240" w:lineRule="auto"/>
        <w:jc w:val="both"/>
        <w:rPr>
          <w:rFonts w:ascii="Times New Roman" w:hAnsi="Times New Roman"/>
          <w:szCs w:val="24"/>
          <w:lang w:val="en-US"/>
        </w:rPr>
      </w:pPr>
      <w:r>
        <w:rPr>
          <w:rFonts w:ascii="Times New Roman" w:hAnsi="Times New Roman"/>
          <w:szCs w:val="24"/>
          <w:lang w:val="en-US"/>
        </w:rPr>
        <w:t>In an effort to comply to provisions of this Act,  the contractor will integrate Sexual Exploitation and Abuse (SEA),GBV, SH prevention measures in job descriptions, employments contracts, performance appraisal systems, etc.; development of Code of Conduct, , including whistle-blower protection and investigation and disciplinary procedures; training for all project management; establishment of a Grievance Redress Mechanism(GRM) structure for GBV, SEA SH incidents, investigations and disciplinary procedures; supervision of dedicated SEA focal points in the project and trained community liaison officers among other measures.</w:t>
      </w:r>
    </w:p>
    <w:p w14:paraId="7D4BD130">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59" w:name="_Toc8703"/>
      <w:bookmarkStart w:id="460" w:name="_Toc17698"/>
      <w:bookmarkStart w:id="461" w:name="_Toc32094"/>
      <w:bookmarkStart w:id="462" w:name="_Toc189054400"/>
      <w:bookmarkStart w:id="463" w:name="_Toc220710840"/>
      <w:r>
        <w:rPr>
          <w:rFonts w:ascii="Times New Roman" w:hAnsi="Times New Roman"/>
          <w:b/>
          <w:lang w:val="en-US"/>
        </w:rPr>
        <w:t xml:space="preserve">Children's Rights Act </w:t>
      </w:r>
      <w:bookmarkEnd w:id="459"/>
      <w:bookmarkEnd w:id="460"/>
      <w:bookmarkEnd w:id="461"/>
      <w:bookmarkEnd w:id="462"/>
      <w:r>
        <w:rPr>
          <w:rFonts w:ascii="Times New Roman" w:hAnsi="Times New Roman"/>
          <w:b/>
          <w:lang w:val="en-US"/>
        </w:rPr>
        <w:t>2022</w:t>
      </w:r>
      <w:bookmarkEnd w:id="463"/>
    </w:p>
    <w:p w14:paraId="60A51054">
      <w:pPr>
        <w:spacing w:line="240" w:lineRule="auto"/>
        <w:jc w:val="both"/>
        <w:rPr>
          <w:rFonts w:ascii="Times New Roman" w:hAnsi="Times New Roman"/>
          <w:szCs w:val="24"/>
          <w:lang w:val="en-US"/>
        </w:rPr>
      </w:pPr>
      <w:r>
        <w:rPr>
          <w:rFonts w:ascii="Times New Roman" w:hAnsi="Times New Roman"/>
          <w:szCs w:val="24"/>
          <w:lang w:val="en-US"/>
        </w:rPr>
        <w:t xml:space="preserve">This Act of Parliament makes provision for parental responsibility, fostering, adoption, custody, maintenance, guardianship, care and protection of children. It also makes provision for the administration of children's institutions, gives effect to the principles of the Convention on the Rights of the Child and the African Charter on the Rights and Welfare of the Child. The Contractor implementing the project will be required to comply to provisions of the Act during Project implementation. </w:t>
      </w:r>
    </w:p>
    <w:p w14:paraId="377043F4">
      <w:pPr>
        <w:spacing w:line="240" w:lineRule="auto"/>
        <w:jc w:val="both"/>
        <w:rPr>
          <w:rFonts w:ascii="Times New Roman" w:hAnsi="Times New Roman"/>
          <w:szCs w:val="24"/>
          <w:lang w:val="en-US"/>
        </w:rPr>
      </w:pPr>
      <w:r>
        <w:rPr>
          <w:rFonts w:ascii="Times New Roman" w:hAnsi="Times New Roman"/>
          <w:szCs w:val="24"/>
          <w:lang w:val="en-US"/>
        </w:rPr>
        <w:t>The contractor has C-ESMP which includes a Children Protection Strategy that will ensure minors are protected against negative impacts associated by the Project including SEA.</w:t>
      </w:r>
    </w:p>
    <w:p w14:paraId="68EBAE85">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64" w:name="_Toc29147"/>
      <w:bookmarkStart w:id="465" w:name="_Toc17931"/>
      <w:bookmarkStart w:id="466" w:name="_Toc189054401"/>
      <w:bookmarkStart w:id="467" w:name="_Toc220710841"/>
      <w:bookmarkStart w:id="468" w:name="_Toc11265"/>
      <w:r>
        <w:rPr>
          <w:rFonts w:ascii="Times New Roman" w:hAnsi="Times New Roman"/>
          <w:b/>
          <w:lang w:val="en-US"/>
        </w:rPr>
        <w:t>Labour Relations Act 2012</w:t>
      </w:r>
      <w:bookmarkEnd w:id="464"/>
      <w:bookmarkEnd w:id="465"/>
      <w:bookmarkEnd w:id="466"/>
      <w:bookmarkEnd w:id="467"/>
      <w:bookmarkEnd w:id="468"/>
    </w:p>
    <w:p w14:paraId="34931E13">
      <w:pPr>
        <w:spacing w:line="240" w:lineRule="auto"/>
        <w:jc w:val="both"/>
        <w:rPr>
          <w:rFonts w:ascii="Times New Roman" w:hAnsi="Times New Roman"/>
          <w:szCs w:val="24"/>
          <w:lang w:val="en-US"/>
        </w:rPr>
      </w:pPr>
      <w:r>
        <w:rPr>
          <w:rFonts w:ascii="Times New Roman" w:hAnsi="Times New Roman"/>
          <w:szCs w:val="24"/>
          <w:lang w:val="en-US"/>
        </w:rPr>
        <w:t>An Act of Parliament to consolidate the law relating to trade unions and trade disputes, to provide for the registration, regulation, management and democratization of trade unions and employers organizations or federations, to promote sound labour relations through the protection and promotion of freedom of association. This act will be applied by labour force on site in addressing disputes related to working conditions.</w:t>
      </w:r>
    </w:p>
    <w:p w14:paraId="0AF59F1D">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69" w:name="_Toc30628"/>
      <w:bookmarkStart w:id="470" w:name="_Toc16825"/>
      <w:bookmarkStart w:id="471" w:name="_Toc220710842"/>
      <w:bookmarkStart w:id="472" w:name="_Toc25109"/>
      <w:bookmarkStart w:id="473" w:name="_Toc189054402"/>
      <w:r>
        <w:rPr>
          <w:rFonts w:ascii="Times New Roman" w:hAnsi="Times New Roman"/>
          <w:b/>
          <w:lang w:val="en-US"/>
        </w:rPr>
        <w:t>Traffic Act 2015</w:t>
      </w:r>
      <w:bookmarkEnd w:id="469"/>
      <w:bookmarkEnd w:id="470"/>
      <w:bookmarkEnd w:id="471"/>
      <w:bookmarkEnd w:id="472"/>
      <w:bookmarkEnd w:id="473"/>
      <w:r>
        <w:rPr>
          <w:rFonts w:ascii="Times New Roman" w:hAnsi="Times New Roman"/>
          <w:b/>
          <w:lang w:val="en-US"/>
        </w:rPr>
        <w:tab/>
      </w:r>
    </w:p>
    <w:p w14:paraId="0BE5D7B5">
      <w:pPr>
        <w:spacing w:line="240" w:lineRule="auto"/>
        <w:jc w:val="both"/>
        <w:rPr>
          <w:rFonts w:ascii="Times New Roman" w:hAnsi="Times New Roman"/>
          <w:szCs w:val="24"/>
          <w:lang w:val="en-US"/>
        </w:rPr>
      </w:pPr>
      <w:r>
        <w:rPr>
          <w:rFonts w:ascii="Times New Roman" w:hAnsi="Times New Roman"/>
          <w:szCs w:val="24"/>
          <w:lang w:val="en-US"/>
        </w:rPr>
        <w:t>PART V of the Act provides driving and other offense relating to the use of vehicles on roads. The act provides explicit measures related to; Speed of motor vehicles, Penalties in relation to speed, driving under influence of alcohol, driving on pavement, pedestrian walkway, causing death by driving or obstruction, Reckless driving, Signals and signs to be obeyed, Condition of vehicles, Limitation of loads. This Act will be cited in relation to operation of plant and equipment on site. This act is enforced by the Traffic Police Department and the National Transport and Safety Authority (NTSA).</w:t>
      </w:r>
    </w:p>
    <w:p w14:paraId="0B90E8C3">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74" w:name="_Toc22941"/>
      <w:bookmarkStart w:id="475" w:name="_Toc220710843"/>
      <w:bookmarkStart w:id="476" w:name="_Toc26915"/>
      <w:bookmarkStart w:id="477" w:name="_Toc189054403"/>
      <w:bookmarkStart w:id="478" w:name="_Toc5771"/>
      <w:r>
        <w:rPr>
          <w:rFonts w:ascii="Times New Roman" w:hAnsi="Times New Roman"/>
          <w:b/>
          <w:lang w:val="en-US"/>
        </w:rPr>
        <w:t>Public Health Act, Cap 242</w:t>
      </w:r>
      <w:bookmarkEnd w:id="474"/>
      <w:bookmarkEnd w:id="475"/>
      <w:bookmarkEnd w:id="476"/>
      <w:bookmarkEnd w:id="477"/>
      <w:bookmarkEnd w:id="478"/>
      <w:r>
        <w:rPr>
          <w:rFonts w:ascii="Times New Roman" w:hAnsi="Times New Roman"/>
          <w:b/>
          <w:lang w:val="en-US"/>
        </w:rPr>
        <w:tab/>
      </w:r>
    </w:p>
    <w:p w14:paraId="513E488C">
      <w:pPr>
        <w:spacing w:line="240" w:lineRule="auto"/>
        <w:jc w:val="both"/>
        <w:rPr>
          <w:rFonts w:ascii="Times New Roman" w:hAnsi="Times New Roman"/>
          <w:szCs w:val="24"/>
          <w:lang w:val="en-US"/>
        </w:rPr>
      </w:pPr>
      <w:r>
        <w:rPr>
          <w:rFonts w:ascii="Times New Roman" w:hAnsi="Times New Roman"/>
          <w:szCs w:val="24"/>
          <w:lang w:val="en-US"/>
        </w:rPr>
        <w:t xml:space="preserve">This is an Act of Parliament which makes provision for good public sanitation and maintenance of health. Part III section 17-18 highlights what the contractor should do in case of an outbreak of infectious diseases within the area. The infectious diseases apply to smallpox, plague, cholera, typhus fever, acute poliomyelitis, rabies and recently COVID -19. </w:t>
      </w:r>
    </w:p>
    <w:p w14:paraId="5D71F62E">
      <w:pPr>
        <w:spacing w:line="240" w:lineRule="auto"/>
        <w:jc w:val="both"/>
        <w:rPr>
          <w:rFonts w:ascii="Times New Roman" w:hAnsi="Times New Roman"/>
          <w:szCs w:val="24"/>
          <w:lang w:val="en-US"/>
        </w:rPr>
      </w:pPr>
      <w:r>
        <w:rPr>
          <w:rFonts w:ascii="Times New Roman" w:hAnsi="Times New Roman"/>
          <w:szCs w:val="24"/>
          <w:lang w:val="en-US"/>
        </w:rPr>
        <w:t xml:space="preserve">The Act also makes provision for securing and maintaining health. For instance, the local authorities are supposed to take measures for preventing any pollution dangerous to health of any supply of water that the public uses for domestic purposes and purifying the sources that have been polluted. They are also supposed to act against persons causing pollution to the water sources. </w:t>
      </w:r>
      <w:r>
        <w:rPr>
          <w:rFonts w:ascii="Times New Roman" w:hAnsi="Times New Roman"/>
          <w:szCs w:val="24"/>
          <w:lang w:val="en-US"/>
        </w:rPr>
        <w:tab/>
      </w:r>
    </w:p>
    <w:p w14:paraId="77FE1BF3">
      <w:pPr>
        <w:spacing w:line="240" w:lineRule="auto"/>
        <w:jc w:val="both"/>
        <w:rPr>
          <w:rFonts w:ascii="Times New Roman" w:hAnsi="Times New Roman"/>
          <w:szCs w:val="24"/>
          <w:lang w:val="en-US"/>
        </w:rPr>
      </w:pPr>
      <w:r>
        <w:rPr>
          <w:rFonts w:ascii="Times New Roman" w:hAnsi="Times New Roman"/>
          <w:szCs w:val="24"/>
          <w:lang w:val="en-US"/>
        </w:rPr>
        <w:t>Applicability; The contractor will be required to provide sanitary facilities and solid waste containers for use by construction workers on site.</w:t>
      </w:r>
    </w:p>
    <w:p w14:paraId="6A831FED">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79" w:name="_Toc10971"/>
      <w:bookmarkStart w:id="480" w:name="_Toc189054405"/>
      <w:bookmarkStart w:id="481" w:name="_Toc31223"/>
      <w:bookmarkStart w:id="482" w:name="_Toc22068"/>
      <w:bookmarkStart w:id="483" w:name="_Toc220710844"/>
      <w:r>
        <w:rPr>
          <w:rFonts w:ascii="Times New Roman" w:hAnsi="Times New Roman"/>
          <w:b/>
          <w:lang w:val="en-US"/>
        </w:rPr>
        <w:t>The Environmental (Impact Assessment and Audit) Regulations, 20</w:t>
      </w:r>
      <w:bookmarkEnd w:id="479"/>
      <w:bookmarkEnd w:id="480"/>
      <w:bookmarkEnd w:id="481"/>
      <w:bookmarkEnd w:id="482"/>
      <w:r>
        <w:rPr>
          <w:rFonts w:ascii="Times New Roman" w:hAnsi="Times New Roman"/>
          <w:b/>
          <w:lang w:val="en-US"/>
        </w:rPr>
        <w:t>25</w:t>
      </w:r>
      <w:bookmarkEnd w:id="483"/>
    </w:p>
    <w:p w14:paraId="436CC19B">
      <w:pPr>
        <w:spacing w:line="240" w:lineRule="auto"/>
        <w:jc w:val="both"/>
        <w:rPr>
          <w:rFonts w:ascii="Times New Roman" w:hAnsi="Times New Roman"/>
          <w:szCs w:val="24"/>
          <w:lang w:val="en-US"/>
        </w:rPr>
      </w:pPr>
      <w:r>
        <w:rPr>
          <w:rFonts w:ascii="Times New Roman" w:hAnsi="Times New Roman"/>
          <w:szCs w:val="24"/>
          <w:lang w:val="en-US"/>
        </w:rPr>
        <w:t xml:space="preserve">The Environmental (Impact Assessment and Audit) Regulations, 2003 (as amended) provide the framework under which Environmental Impact Assessments (EIA) are prepared and regulated in Kenya. These regulations are issued under the Environmental Management and Co-ordination Act (EMCA), Cap. 387, and require that no proponent shall implement a project likely to have a negative environmental impact, or for which an EIA is required, unless an EIA has been concluded and approved in accordance with these regulations. </w:t>
      </w:r>
    </w:p>
    <w:p w14:paraId="3E4C3079">
      <w:pPr>
        <w:spacing w:line="240" w:lineRule="auto"/>
        <w:jc w:val="both"/>
        <w:rPr>
          <w:rFonts w:ascii="Times New Roman" w:hAnsi="Times New Roman"/>
          <w:szCs w:val="24"/>
          <w:lang w:val="en-US"/>
        </w:rPr>
      </w:pPr>
      <w:r>
        <w:rPr>
          <w:rFonts w:ascii="Times New Roman" w:hAnsi="Times New Roman"/>
          <w:szCs w:val="24"/>
          <w:lang w:val="en-US"/>
        </w:rPr>
        <w:t>Regulation 4(1) of the Regulations states that:</w:t>
      </w:r>
    </w:p>
    <w:p w14:paraId="0BEC71A5">
      <w:pPr>
        <w:spacing w:line="240" w:lineRule="auto"/>
        <w:jc w:val="both"/>
        <w:rPr>
          <w:rFonts w:ascii="Times New Roman" w:hAnsi="Times New Roman"/>
          <w:szCs w:val="24"/>
          <w:lang w:val="en-US"/>
        </w:rPr>
      </w:pPr>
      <w:r>
        <w:rPr>
          <w:rFonts w:ascii="Times New Roman" w:hAnsi="Times New Roman"/>
          <w:i/>
          <w:iCs/>
          <w:szCs w:val="24"/>
          <w:lang w:val="en-US"/>
        </w:rPr>
        <w:t>(a) no proponent shall implement a project likely to have a negative environmental impact; and</w:t>
      </w:r>
      <w:r>
        <w:rPr>
          <w:rFonts w:ascii="Times New Roman" w:hAnsi="Times New Roman"/>
          <w:szCs w:val="24"/>
          <w:lang w:val="en-US"/>
        </w:rPr>
        <w:br w:type="textWrapping"/>
      </w:r>
      <w:r>
        <w:rPr>
          <w:rFonts w:ascii="Times New Roman" w:hAnsi="Times New Roman"/>
          <w:i/>
          <w:iCs/>
          <w:szCs w:val="24"/>
          <w:lang w:val="en-US"/>
        </w:rPr>
        <w:t>(b) for which an environmental impact assessment is required under the Act or these Regulations, unless an environmental impact assessment has been concluded and approved in accordance with these Regulations.</w:t>
      </w:r>
      <w:r>
        <w:rPr>
          <w:rFonts w:ascii="Times New Roman" w:hAnsi="Times New Roman"/>
          <w:szCs w:val="24"/>
          <w:lang w:val="en-US"/>
        </w:rPr>
        <w:t xml:space="preserve"> </w:t>
      </w:r>
    </w:p>
    <w:p w14:paraId="08D078B3">
      <w:pPr>
        <w:spacing w:line="240" w:lineRule="auto"/>
        <w:jc w:val="both"/>
        <w:rPr>
          <w:rFonts w:ascii="Times New Roman" w:hAnsi="Times New Roman"/>
          <w:szCs w:val="24"/>
          <w:lang w:val="en-US"/>
        </w:rPr>
      </w:pPr>
      <w:r>
        <w:rPr>
          <w:rFonts w:ascii="Times New Roman" w:hAnsi="Times New Roman"/>
          <w:szCs w:val="24"/>
          <w:lang w:val="en-US"/>
        </w:rPr>
        <w:t xml:space="preserve">These provisions apply during the preparation of the screening report, summary project report (where applicable), and the full ESIA study and report. The Regulations further require that all EIA studies be undertaken by registered and licensed environmental experts and that an EIA licence be obtained from the National Environment Management Authority (NEMA) </w:t>
      </w:r>
      <w:r>
        <w:rPr>
          <w:rFonts w:ascii="Times New Roman" w:hAnsi="Times New Roman"/>
          <w:i/>
          <w:iCs/>
          <w:szCs w:val="24"/>
          <w:lang w:val="en-US"/>
        </w:rPr>
        <w:t>before</w:t>
      </w:r>
      <w:r>
        <w:rPr>
          <w:rFonts w:ascii="Times New Roman" w:hAnsi="Times New Roman"/>
          <w:szCs w:val="24"/>
          <w:lang w:val="en-US"/>
        </w:rPr>
        <w:t xml:space="preserve"> commencement of the project.</w:t>
      </w:r>
    </w:p>
    <w:p w14:paraId="40B30F85">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84" w:name="_Toc14394"/>
      <w:bookmarkStart w:id="485" w:name="_Toc22974"/>
      <w:bookmarkStart w:id="486" w:name="_Toc27371"/>
      <w:bookmarkStart w:id="487" w:name="_Toc189054406"/>
      <w:bookmarkStart w:id="488" w:name="_Toc220710845"/>
      <w:r>
        <w:rPr>
          <w:rFonts w:ascii="Times New Roman" w:hAnsi="Times New Roman"/>
          <w:b/>
          <w:lang w:val="en-US"/>
        </w:rPr>
        <w:t xml:space="preserve">Environmental Management and Coordination (Water Quality) Regulations, </w:t>
      </w:r>
      <w:bookmarkEnd w:id="484"/>
      <w:bookmarkEnd w:id="485"/>
      <w:bookmarkEnd w:id="486"/>
      <w:bookmarkEnd w:id="487"/>
      <w:r>
        <w:rPr>
          <w:rFonts w:ascii="Times New Roman" w:hAnsi="Times New Roman"/>
          <w:b/>
          <w:lang w:val="en-US"/>
        </w:rPr>
        <w:t>2024</w:t>
      </w:r>
      <w:bookmarkEnd w:id="488"/>
    </w:p>
    <w:p w14:paraId="30672667">
      <w:pPr>
        <w:spacing w:line="240" w:lineRule="auto"/>
        <w:jc w:val="both"/>
        <w:rPr>
          <w:rFonts w:ascii="Times New Roman" w:hAnsi="Times New Roman"/>
          <w:szCs w:val="24"/>
          <w:lang w:val="en-US"/>
        </w:rPr>
      </w:pPr>
      <w:r>
        <w:rPr>
          <w:rFonts w:ascii="Times New Roman" w:hAnsi="Times New Roman"/>
          <w:b/>
          <w:bCs/>
          <w:szCs w:val="24"/>
          <w:lang w:val="en-US"/>
        </w:rPr>
        <w:t>(Legal Notice No. 177)</w:t>
      </w:r>
      <w:r>
        <w:rPr>
          <w:rFonts w:ascii="Times New Roman" w:hAnsi="Times New Roman"/>
          <w:szCs w:val="24"/>
          <w:lang w:val="en-US"/>
        </w:rPr>
        <w:t xml:space="preserve"> Provide a modern legal framework for the prevention of land and water pollution. These regulations establish rigorous standards for wastewater management to ensure the integrity of water resources and define specific quality parameters for various water uses.</w:t>
      </w:r>
    </w:p>
    <w:p w14:paraId="00390308">
      <w:pPr>
        <w:spacing w:line="240" w:lineRule="auto"/>
        <w:jc w:val="both"/>
        <w:rPr>
          <w:rFonts w:ascii="Times New Roman" w:hAnsi="Times New Roman"/>
          <w:szCs w:val="24"/>
          <w:lang w:val="en-US"/>
        </w:rPr>
      </w:pPr>
      <w:r>
        <w:rPr>
          <w:rFonts w:ascii="Times New Roman" w:hAnsi="Times New Roman"/>
          <w:b/>
          <w:bCs/>
          <w:szCs w:val="24"/>
          <w:lang w:val="en-US"/>
        </w:rPr>
        <w:t>Regulation 9: Water Quality Monitoring</w:t>
      </w:r>
      <w:r>
        <w:rPr>
          <w:rFonts w:ascii="Times New Roman" w:hAnsi="Times New Roman"/>
          <w:szCs w:val="24"/>
          <w:lang w:val="en-US"/>
        </w:rPr>
        <w:t xml:space="preserve"> This regulation mandates that the Authority (NEMA), in consultation with relevant lead agencies, maintains a water quality monitoring regime for sources of domestic water. Key requirements include:</w:t>
      </w:r>
    </w:p>
    <w:p w14:paraId="2635F391">
      <w:pPr>
        <w:numPr>
          <w:ilvl w:val="0"/>
          <w:numId w:val="35"/>
        </w:numPr>
        <w:spacing w:line="240" w:lineRule="auto"/>
        <w:jc w:val="both"/>
        <w:rPr>
          <w:rFonts w:ascii="Times New Roman" w:hAnsi="Times New Roman"/>
          <w:szCs w:val="24"/>
          <w:lang w:val="en-US"/>
        </w:rPr>
      </w:pPr>
      <w:r>
        <w:rPr>
          <w:rFonts w:ascii="Times New Roman" w:hAnsi="Times New Roman"/>
          <w:b/>
          <w:bCs/>
          <w:szCs w:val="24"/>
          <w:lang w:val="en-US"/>
        </w:rPr>
        <w:t>Frequency:</w:t>
      </w:r>
      <w:r>
        <w:rPr>
          <w:rFonts w:ascii="Times New Roman" w:hAnsi="Times New Roman"/>
          <w:szCs w:val="24"/>
          <w:lang w:val="en-US"/>
        </w:rPr>
        <w:t xml:space="preserve"> Monitoring must be conducted at least </w:t>
      </w:r>
      <w:r>
        <w:rPr>
          <w:rFonts w:ascii="Times New Roman" w:hAnsi="Times New Roman"/>
          <w:b/>
          <w:bCs/>
          <w:szCs w:val="24"/>
          <w:lang w:val="en-US"/>
        </w:rPr>
        <w:t>twice every calendar year</w:t>
      </w:r>
      <w:r>
        <w:rPr>
          <w:rFonts w:ascii="Times New Roman" w:hAnsi="Times New Roman"/>
          <w:szCs w:val="24"/>
          <w:lang w:val="en-US"/>
        </w:rPr>
        <w:t>.</w:t>
      </w:r>
    </w:p>
    <w:p w14:paraId="7ECDDB37">
      <w:pPr>
        <w:numPr>
          <w:ilvl w:val="0"/>
          <w:numId w:val="35"/>
        </w:numPr>
        <w:spacing w:line="240" w:lineRule="auto"/>
        <w:jc w:val="both"/>
        <w:rPr>
          <w:rFonts w:ascii="Times New Roman" w:hAnsi="Times New Roman"/>
          <w:szCs w:val="24"/>
          <w:lang w:val="en-US"/>
        </w:rPr>
      </w:pPr>
      <w:r>
        <w:rPr>
          <w:rFonts w:ascii="Times New Roman" w:hAnsi="Times New Roman"/>
          <w:b/>
          <w:bCs/>
          <w:szCs w:val="24"/>
          <w:lang w:val="en-US"/>
        </w:rPr>
        <w:t>Record Keeping:</w:t>
      </w:r>
      <w:r>
        <w:rPr>
          <w:rFonts w:ascii="Times New Roman" w:hAnsi="Times New Roman"/>
          <w:szCs w:val="24"/>
          <w:lang w:val="en-US"/>
        </w:rPr>
        <w:t xml:space="preserve"> Monitoring records must be maintained in the prescribed format as set out in the </w:t>
      </w:r>
      <w:r>
        <w:rPr>
          <w:rFonts w:ascii="Times New Roman" w:hAnsi="Times New Roman"/>
          <w:b/>
          <w:bCs/>
          <w:szCs w:val="24"/>
          <w:lang w:val="en-US"/>
        </w:rPr>
        <w:t>Second Schedule</w:t>
      </w:r>
      <w:r>
        <w:rPr>
          <w:rFonts w:ascii="Times New Roman" w:hAnsi="Times New Roman"/>
          <w:szCs w:val="24"/>
          <w:lang w:val="en-US"/>
        </w:rPr>
        <w:t xml:space="preserve"> of the 2024 regulations.</w:t>
      </w:r>
    </w:p>
    <w:p w14:paraId="3A5FB787">
      <w:pPr>
        <w:numPr>
          <w:ilvl w:val="0"/>
          <w:numId w:val="35"/>
        </w:numPr>
        <w:spacing w:line="240" w:lineRule="auto"/>
        <w:jc w:val="both"/>
        <w:rPr>
          <w:rFonts w:ascii="Times New Roman" w:hAnsi="Times New Roman"/>
          <w:szCs w:val="24"/>
          <w:lang w:val="en-US"/>
        </w:rPr>
      </w:pPr>
      <w:r>
        <w:rPr>
          <w:rFonts w:ascii="Times New Roman" w:hAnsi="Times New Roman"/>
          <w:b/>
          <w:bCs/>
          <w:szCs w:val="24"/>
          <w:lang w:val="en-US"/>
        </w:rPr>
        <w:t>Scope of Protection:</w:t>
      </w:r>
      <w:r>
        <w:rPr>
          <w:rFonts w:ascii="Times New Roman" w:hAnsi="Times New Roman"/>
          <w:szCs w:val="24"/>
          <w:lang w:val="en-US"/>
        </w:rPr>
        <w:t xml:space="preserve"> The regulations cover the sustainable management and protection of all water sources, including lakes, rivers, streams, springs, wells, and specifically emphasize the protection of </w:t>
      </w:r>
      <w:r>
        <w:rPr>
          <w:rFonts w:ascii="Times New Roman" w:hAnsi="Times New Roman"/>
          <w:b/>
          <w:bCs/>
          <w:szCs w:val="24"/>
          <w:lang w:val="en-US"/>
        </w:rPr>
        <w:t>groundwater resources</w:t>
      </w:r>
      <w:r>
        <w:rPr>
          <w:rFonts w:ascii="Times New Roman" w:hAnsi="Times New Roman"/>
          <w:szCs w:val="24"/>
          <w:lang w:val="en-US"/>
        </w:rPr>
        <w:t>.</w:t>
      </w:r>
    </w:p>
    <w:p w14:paraId="05109B46">
      <w:pPr>
        <w:spacing w:line="240" w:lineRule="auto"/>
        <w:jc w:val="both"/>
        <w:rPr>
          <w:rFonts w:ascii="Times New Roman" w:hAnsi="Times New Roman"/>
          <w:szCs w:val="24"/>
          <w:lang w:val="en-US"/>
        </w:rPr>
      </w:pPr>
      <w:r>
        <w:rPr>
          <w:rFonts w:ascii="Times New Roman" w:hAnsi="Times New Roman"/>
          <w:szCs w:val="24"/>
          <w:lang w:val="en-US"/>
        </w:rPr>
        <w:t>Applicability: During the implementation of this project, the contractor is legally obligated to prevent any degradation of water quality within the project area.</w:t>
      </w:r>
    </w:p>
    <w:p w14:paraId="69218F1D">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89" w:name="_Toc220710846"/>
      <w:r>
        <w:rPr>
          <w:rFonts w:ascii="Times New Roman" w:hAnsi="Times New Roman"/>
          <w:b/>
          <w:lang w:val="en-US"/>
        </w:rPr>
        <w:t>Environmental Management and Co-ordination (Waste Management) Regulations, 2024 (Legal Notice 178 of 2024)</w:t>
      </w:r>
      <w:bookmarkEnd w:id="489"/>
    </w:p>
    <w:p w14:paraId="477C3EB3">
      <w:pPr>
        <w:spacing w:line="240" w:lineRule="auto"/>
        <w:jc w:val="both"/>
        <w:rPr>
          <w:rFonts w:ascii="Times New Roman" w:hAnsi="Times New Roman"/>
          <w:szCs w:val="24"/>
          <w:lang w:val="en-US"/>
        </w:rPr>
      </w:pPr>
      <w:r>
        <w:rPr>
          <w:rFonts w:ascii="Times New Roman" w:hAnsi="Times New Roman"/>
          <w:szCs w:val="24"/>
          <w:lang w:val="en-US"/>
        </w:rPr>
        <w:t>Regulation 4 - Restriction on disposal of waste</w:t>
      </w:r>
    </w:p>
    <w:p w14:paraId="047E39D7">
      <w:pPr>
        <w:pStyle w:val="32"/>
        <w:numPr>
          <w:ilvl w:val="0"/>
          <w:numId w:val="36"/>
        </w:numPr>
        <w:spacing w:line="240" w:lineRule="auto"/>
        <w:jc w:val="both"/>
        <w:rPr>
          <w:rFonts w:ascii="Times New Roman" w:hAnsi="Times New Roman"/>
          <w:i/>
          <w:iCs/>
          <w:szCs w:val="24"/>
          <w:lang w:val="en-US"/>
        </w:rPr>
      </w:pPr>
      <w:r>
        <w:rPr>
          <w:rFonts w:ascii="Times New Roman" w:hAnsi="Times New Roman"/>
          <w:i/>
          <w:iCs/>
          <w:szCs w:val="24"/>
          <w:lang w:val="en-US"/>
        </w:rPr>
        <w:t>No person shall dispose of hazardous waste on a public highway, street, road, recreational area or in any public place except in a designated waste receptacle.</w:t>
      </w:r>
    </w:p>
    <w:p w14:paraId="797D944A">
      <w:pPr>
        <w:pStyle w:val="32"/>
        <w:numPr>
          <w:ilvl w:val="0"/>
          <w:numId w:val="36"/>
        </w:numPr>
        <w:spacing w:line="240" w:lineRule="auto"/>
        <w:jc w:val="both"/>
        <w:rPr>
          <w:rFonts w:ascii="Times New Roman" w:hAnsi="Times New Roman"/>
          <w:i/>
          <w:iCs/>
          <w:szCs w:val="24"/>
          <w:lang w:val="en-US"/>
        </w:rPr>
      </w:pPr>
      <w:r>
        <w:rPr>
          <w:rFonts w:ascii="Times New Roman" w:hAnsi="Times New Roman"/>
          <w:i/>
          <w:iCs/>
          <w:szCs w:val="24"/>
          <w:lang w:val="en-US"/>
        </w:rPr>
        <w:t xml:space="preserve">A person who contravenes sub-regulation (1) commits an offence and shall be liable on conviction to the penalty provided under section 144 of the Act. </w:t>
      </w:r>
    </w:p>
    <w:p w14:paraId="61AEDB02">
      <w:pPr>
        <w:pStyle w:val="4"/>
        <w:numPr>
          <w:ilvl w:val="2"/>
          <w:numId w:val="34"/>
        </w:numPr>
        <w:pBdr>
          <w:bottom w:val="dashed" w:color="auto" w:sz="4" w:space="0"/>
        </w:pBdr>
        <w:shd w:val="clear" w:color="auto" w:fill="auto"/>
        <w:spacing w:line="240" w:lineRule="auto"/>
        <w:ind w:left="864"/>
        <w:rPr>
          <w:rFonts w:ascii="Times New Roman" w:hAnsi="Times New Roman"/>
          <w:lang w:val="en-US"/>
        </w:rPr>
      </w:pPr>
      <w:bookmarkStart w:id="490" w:name="_Toc11730"/>
      <w:bookmarkStart w:id="491" w:name="_Toc22622"/>
      <w:bookmarkStart w:id="492" w:name="_Toc32659"/>
      <w:bookmarkStart w:id="493" w:name="_Toc220710847"/>
      <w:bookmarkStart w:id="494" w:name="_Toc189054408"/>
      <w:r>
        <w:rPr>
          <w:rFonts w:ascii="Times New Roman" w:hAnsi="Times New Roman"/>
          <w:b/>
          <w:lang w:val="en-US"/>
        </w:rPr>
        <w:t>Environmental Management and Coordination, Noise and Excessive Vibration Pollution (Control) Regulations, 2009</w:t>
      </w:r>
      <w:bookmarkEnd w:id="490"/>
      <w:bookmarkEnd w:id="491"/>
      <w:bookmarkEnd w:id="492"/>
      <w:bookmarkEnd w:id="493"/>
      <w:bookmarkEnd w:id="494"/>
      <w:r>
        <w:rPr>
          <w:rFonts w:ascii="Times New Roman" w:hAnsi="Times New Roman"/>
          <w:lang w:val="en-US"/>
        </w:rPr>
        <w:tab/>
      </w:r>
    </w:p>
    <w:p w14:paraId="0C14CCF2">
      <w:pPr>
        <w:spacing w:line="240" w:lineRule="auto"/>
        <w:jc w:val="both"/>
        <w:rPr>
          <w:rFonts w:ascii="Times New Roman" w:hAnsi="Times New Roman"/>
          <w:b/>
          <w:szCs w:val="24"/>
          <w:lang w:val="en-US"/>
        </w:rPr>
      </w:pPr>
      <w:r>
        <w:rPr>
          <w:rFonts w:ascii="Times New Roman" w:hAnsi="Times New Roman"/>
          <w:szCs w:val="24"/>
          <w:lang w:val="en-US"/>
        </w:rPr>
        <w:t>The Contractor will be required to ensure compliance with the above regulations to promote a healthy and safe working environment. This shall include regular inspection and maintenance of equipment and prohibition of unnecessary hooting by vehicles. The regulations provide for a maximum of 60 dB during the day and 35 dB during the night for a construction site. Provisions of the regulations apply during preparation of this report</w:t>
      </w:r>
      <w:r>
        <w:rPr>
          <w:rFonts w:ascii="Times New Roman" w:hAnsi="Times New Roman"/>
          <w:b/>
          <w:szCs w:val="24"/>
          <w:lang w:val="en-US"/>
        </w:rPr>
        <w:t xml:space="preserve">. </w:t>
      </w:r>
      <w:r>
        <w:rPr>
          <w:rFonts w:ascii="Times New Roman" w:hAnsi="Times New Roman"/>
          <w:szCs w:val="24"/>
          <w:lang w:val="en-US"/>
        </w:rPr>
        <w:t>Where the is excess noise due to heavy machinery on site the contractor will provide ear protection to site workers.</w:t>
      </w:r>
    </w:p>
    <w:p w14:paraId="15072500">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bookmarkStart w:id="495" w:name="_Toc26044"/>
      <w:bookmarkStart w:id="496" w:name="_Toc1012"/>
      <w:bookmarkStart w:id="497" w:name="_Toc220710848"/>
      <w:bookmarkStart w:id="498" w:name="_Toc189054409"/>
      <w:bookmarkStart w:id="499" w:name="_Toc4865"/>
      <w:r>
        <w:rPr>
          <w:rFonts w:ascii="Times New Roman" w:hAnsi="Times New Roman"/>
          <w:b/>
          <w:lang w:val="en-US"/>
        </w:rPr>
        <w:t xml:space="preserve">Environmental Management and Coordination (Air Quality Regulations </w:t>
      </w:r>
      <w:bookmarkEnd w:id="495"/>
      <w:bookmarkEnd w:id="496"/>
      <w:bookmarkEnd w:id="497"/>
      <w:bookmarkEnd w:id="498"/>
      <w:bookmarkEnd w:id="499"/>
      <w:r>
        <w:rPr>
          <w:rFonts w:ascii="Times New Roman" w:hAnsi="Times New Roman"/>
          <w:b/>
          <w:lang w:val="en-US"/>
        </w:rPr>
        <w:t xml:space="preserve">2014) </w:t>
      </w:r>
    </w:p>
    <w:p w14:paraId="4E23369C">
      <w:pPr>
        <w:spacing w:line="240" w:lineRule="auto"/>
        <w:jc w:val="both"/>
        <w:rPr>
          <w:rFonts w:ascii="Times New Roman" w:hAnsi="Times New Roman"/>
          <w:szCs w:val="24"/>
          <w:lang w:val="en-US"/>
        </w:rPr>
      </w:pPr>
      <w:r>
        <w:rPr>
          <w:rFonts w:ascii="Times New Roman" w:hAnsi="Times New Roman"/>
          <w:szCs w:val="24"/>
          <w:lang w:val="en-US"/>
        </w:rPr>
        <w:t>These regulations provide a framework for the prevention, control and abatement of air pollution to ensure clean and healthy ambient air. The regulations establish comprehensive requirements for managing emissions from plant and equipment on construction sites, including:</w:t>
      </w:r>
    </w:p>
    <w:p w14:paraId="37F2CEB2">
      <w:pPr>
        <w:spacing w:line="240" w:lineRule="auto"/>
        <w:jc w:val="both"/>
        <w:rPr>
          <w:rFonts w:ascii="Times New Roman" w:hAnsi="Times New Roman"/>
          <w:szCs w:val="24"/>
          <w:lang w:val="en-US"/>
        </w:rPr>
      </w:pPr>
      <w:r>
        <w:rPr>
          <w:rFonts w:ascii="Times New Roman" w:hAnsi="Times New Roman"/>
          <w:szCs w:val="24"/>
          <w:lang w:val="en-US"/>
        </w:rPr>
        <w:t>Regulation 5</w:t>
      </w:r>
    </w:p>
    <w:p w14:paraId="78F05C33">
      <w:pPr>
        <w:numPr>
          <w:ilvl w:val="0"/>
          <w:numId w:val="37"/>
        </w:numPr>
        <w:spacing w:line="240" w:lineRule="auto"/>
        <w:jc w:val="both"/>
        <w:rPr>
          <w:rFonts w:ascii="Times New Roman" w:hAnsi="Times New Roman"/>
          <w:i/>
          <w:iCs/>
          <w:szCs w:val="24"/>
          <w:lang w:val="en-US"/>
        </w:rPr>
      </w:pPr>
      <w:r>
        <w:rPr>
          <w:rFonts w:ascii="Times New Roman" w:hAnsi="Times New Roman"/>
          <w:i/>
          <w:iCs/>
          <w:szCs w:val="24"/>
          <w:lang w:val="en-US"/>
        </w:rPr>
        <w:t>No person shall act in a way that directly or indirectly causes, or is likely to cause, immediate or subsequent air pollution.</w:t>
      </w:r>
    </w:p>
    <w:p w14:paraId="380E130E">
      <w:pPr>
        <w:numPr>
          <w:ilvl w:val="0"/>
          <w:numId w:val="37"/>
        </w:numPr>
        <w:spacing w:line="240" w:lineRule="auto"/>
        <w:jc w:val="both"/>
        <w:rPr>
          <w:rFonts w:ascii="Times New Roman" w:hAnsi="Times New Roman"/>
          <w:i/>
          <w:iCs/>
          <w:szCs w:val="24"/>
          <w:lang w:val="en-US"/>
        </w:rPr>
      </w:pPr>
      <w:r>
        <w:rPr>
          <w:rFonts w:ascii="Times New Roman" w:hAnsi="Times New Roman"/>
          <w:i/>
          <w:iCs/>
          <w:szCs w:val="24"/>
          <w:lang w:val="en-US"/>
        </w:rPr>
        <w:t>No person shall emit any liquid, solid or gaseous substance or deposit any such substance in levels exceeding those set out in the First Schedule.</w:t>
      </w:r>
    </w:p>
    <w:p w14:paraId="0EFDC3C0">
      <w:pPr>
        <w:spacing w:line="240" w:lineRule="auto"/>
        <w:jc w:val="both"/>
        <w:rPr>
          <w:rFonts w:ascii="Times New Roman" w:hAnsi="Times New Roman"/>
          <w:szCs w:val="24"/>
          <w:lang w:val="en-US"/>
        </w:rPr>
      </w:pPr>
      <w:r>
        <w:rPr>
          <w:rFonts w:ascii="Times New Roman" w:hAnsi="Times New Roman"/>
          <w:szCs w:val="24"/>
          <w:lang w:val="en-US"/>
        </w:rPr>
        <w:t>(Second Schedule): The regulations identify specific priority pollutants including:</w:t>
      </w:r>
    </w:p>
    <w:p w14:paraId="384B510D">
      <w:pPr>
        <w:numPr>
          <w:ilvl w:val="0"/>
          <w:numId w:val="38"/>
        </w:numPr>
        <w:spacing w:line="240" w:lineRule="auto"/>
        <w:jc w:val="both"/>
        <w:rPr>
          <w:rFonts w:ascii="Times New Roman" w:hAnsi="Times New Roman"/>
          <w:szCs w:val="24"/>
          <w:lang w:val="en-US"/>
        </w:rPr>
      </w:pPr>
      <w:r>
        <w:rPr>
          <w:rFonts w:ascii="Times New Roman" w:hAnsi="Times New Roman"/>
          <w:szCs w:val="24"/>
          <w:lang w:val="en-US"/>
        </w:rPr>
        <w:t>Particulate matter (dust, black smoke, smog, aerosols), Sulphur oxides (SOx), Nitrogen oxides (NOx), Carbon monoxide (CO), Carbon dioxide (CO2), Hydrocarbons (HC), Volatile Organic Compounds (VOC), and Hydrogen Sulphide.</w:t>
      </w:r>
    </w:p>
    <w:p w14:paraId="0B54C0B1">
      <w:pPr>
        <w:pStyle w:val="4"/>
        <w:numPr>
          <w:ilvl w:val="2"/>
          <w:numId w:val="34"/>
        </w:numPr>
        <w:pBdr>
          <w:bottom w:val="dashed" w:color="auto" w:sz="4" w:space="0"/>
        </w:pBdr>
        <w:shd w:val="clear" w:color="auto" w:fill="auto"/>
        <w:spacing w:line="240" w:lineRule="auto"/>
        <w:ind w:left="864"/>
        <w:rPr>
          <w:rFonts w:ascii="Times New Roman" w:hAnsi="Times New Roman"/>
          <w:b/>
          <w:lang w:val="en-US"/>
        </w:rPr>
      </w:pPr>
      <w:r>
        <w:rPr>
          <w:rFonts w:ascii="Times New Roman" w:hAnsi="Times New Roman"/>
          <w:b/>
          <w:lang w:val="en-US"/>
        </w:rPr>
        <w:t>National Museums and Heritage Act 2006</w:t>
      </w:r>
      <w:r>
        <w:rPr>
          <w:rStyle w:val="11"/>
          <w:rFonts w:eastAsia="Calibri"/>
        </w:rPr>
        <w:commentReference w:id="0"/>
      </w:r>
    </w:p>
    <w:p w14:paraId="42DD4D83">
      <w:pPr>
        <w:tabs>
          <w:tab w:val="left" w:pos="720"/>
        </w:tabs>
        <w:spacing w:line="240" w:lineRule="auto"/>
        <w:jc w:val="both"/>
        <w:rPr>
          <w:rFonts w:ascii="Times New Roman" w:hAnsi="Times New Roman"/>
          <w:szCs w:val="24"/>
        </w:rPr>
      </w:pPr>
      <w:r>
        <w:rPr>
          <w:rFonts w:ascii="Times New Roman" w:hAnsi="Times New Roman"/>
          <w:szCs w:val="24"/>
        </w:rPr>
        <w:t>Under this Act any architectural, archaeological, paleontological, or historical objects discovered unexpectedly—commonly referred to in project management and construction as a "Chance Find"—are protected by law.</w:t>
      </w:r>
    </w:p>
    <w:p w14:paraId="2AACA4B3">
      <w:pPr>
        <w:tabs>
          <w:tab w:val="left" w:pos="720"/>
        </w:tabs>
        <w:spacing w:line="240" w:lineRule="auto"/>
        <w:jc w:val="both"/>
        <w:rPr>
          <w:rFonts w:ascii="Times New Roman" w:hAnsi="Times New Roman"/>
          <w:szCs w:val="24"/>
        </w:rPr>
      </w:pPr>
      <w:r>
        <w:rPr>
          <w:rFonts w:ascii="Times New Roman" w:hAnsi="Times New Roman"/>
          <w:szCs w:val="24"/>
        </w:rPr>
        <w:t>Upon the discovery of any archaeological or historical sites, remains, or objects including graves and graveyards during excavation or construction, the Contractor shall immediately halt activities in the area, delineate and secure the site to prevent damage or loss (including deploying a night guard for removable or sensitive items until official handover), and notify the site supervisor, Project Environmental Officer, and Project Engineer so they can alert the local authorities and the Ministry of State for National Heritage and Culture within 24 hours.</w:t>
      </w:r>
    </w:p>
    <w:p w14:paraId="3C713152">
      <w:pPr>
        <w:pStyle w:val="4"/>
        <w:numPr>
          <w:ilvl w:val="1"/>
          <w:numId w:val="34"/>
        </w:numPr>
        <w:pBdr>
          <w:bottom w:val="dashed" w:color="auto" w:sz="4" w:space="0"/>
        </w:pBdr>
        <w:shd w:val="clear" w:color="auto" w:fill="auto"/>
        <w:spacing w:line="240" w:lineRule="auto"/>
        <w:rPr>
          <w:rFonts w:ascii="Times New Roman" w:hAnsi="Times New Roman"/>
          <w:lang w:val="en-US"/>
        </w:rPr>
      </w:pPr>
      <w:bookmarkStart w:id="500" w:name="_Toc30327"/>
      <w:bookmarkStart w:id="501" w:name="_Toc22497"/>
      <w:bookmarkStart w:id="502" w:name="_Toc220710849"/>
      <w:bookmarkStart w:id="503" w:name="_Toc189054410"/>
      <w:bookmarkStart w:id="504" w:name="_Toc20588"/>
      <w:r>
        <w:rPr>
          <w:rFonts w:ascii="Times New Roman" w:hAnsi="Times New Roman"/>
          <w:b/>
          <w:lang w:val="en-US"/>
        </w:rPr>
        <w:t>Fire Risk Reduction Rules, 2007</w:t>
      </w:r>
      <w:bookmarkEnd w:id="500"/>
      <w:bookmarkEnd w:id="501"/>
      <w:bookmarkEnd w:id="502"/>
      <w:bookmarkEnd w:id="503"/>
      <w:bookmarkEnd w:id="504"/>
      <w:r>
        <w:rPr>
          <w:rFonts w:ascii="Times New Roman" w:hAnsi="Times New Roman"/>
          <w:lang w:val="en-US"/>
        </w:rPr>
        <w:tab/>
      </w:r>
    </w:p>
    <w:p w14:paraId="5D7DE935">
      <w:pPr>
        <w:spacing w:line="240" w:lineRule="auto"/>
        <w:jc w:val="both"/>
        <w:rPr>
          <w:rFonts w:ascii="Times New Roman" w:hAnsi="Times New Roman"/>
          <w:szCs w:val="24"/>
          <w:lang w:val="en-US"/>
        </w:rPr>
      </w:pPr>
      <w:r>
        <w:rPr>
          <w:rFonts w:ascii="Times New Roman" w:hAnsi="Times New Roman"/>
          <w:szCs w:val="24"/>
          <w:lang w:val="en-US"/>
        </w:rPr>
        <w:t>The rules require electrical equipment be installed in accordance with the respective hazardous area classification system, flammable materials are stored in appropriately designed receptacles, electrical equipment is inspected after six months by a competent person and the contractor is required to keep records of such inspections, installation and maintenance of firefighting systems in workplaces, fire drills at least once a year, assembly points be marked, undertake annual fire safety audits etc. The contractor is required to store all flammable materials and liquids safely to avoid risk of fire.</w:t>
      </w:r>
    </w:p>
    <w:p w14:paraId="42688EF7">
      <w:pPr>
        <w:pStyle w:val="4"/>
        <w:numPr>
          <w:ilvl w:val="1"/>
          <w:numId w:val="34"/>
        </w:numPr>
        <w:pBdr>
          <w:bottom w:val="dashed" w:color="auto" w:sz="4" w:space="0"/>
        </w:pBdr>
        <w:shd w:val="clear" w:color="auto" w:fill="auto"/>
        <w:spacing w:line="240" w:lineRule="auto"/>
        <w:rPr>
          <w:rFonts w:ascii="Times New Roman" w:hAnsi="Times New Roman"/>
          <w:b/>
          <w:lang w:val="en-US"/>
        </w:rPr>
      </w:pPr>
      <w:bookmarkStart w:id="505" w:name="_Toc17032"/>
      <w:bookmarkStart w:id="506" w:name="_Toc220710850"/>
      <w:bookmarkStart w:id="507" w:name="_Toc189054411"/>
      <w:bookmarkStart w:id="508" w:name="_Toc4798"/>
      <w:bookmarkStart w:id="509" w:name="_Toc18049"/>
      <w:r>
        <w:rPr>
          <w:rFonts w:ascii="Times New Roman" w:hAnsi="Times New Roman"/>
          <w:b/>
          <w:lang w:val="en-US"/>
        </w:rPr>
        <w:t>Safety and Health Committee Rules of 2004</w:t>
      </w:r>
      <w:bookmarkEnd w:id="505"/>
      <w:bookmarkEnd w:id="506"/>
      <w:bookmarkEnd w:id="507"/>
      <w:bookmarkEnd w:id="508"/>
      <w:bookmarkEnd w:id="509"/>
    </w:p>
    <w:p w14:paraId="4041651C">
      <w:pPr>
        <w:spacing w:line="240" w:lineRule="auto"/>
        <w:jc w:val="both"/>
        <w:rPr>
          <w:rFonts w:ascii="Times New Roman" w:hAnsi="Times New Roman"/>
          <w:szCs w:val="24"/>
          <w:lang w:val="en-US"/>
        </w:rPr>
      </w:pPr>
      <w:r>
        <w:rPr>
          <w:rFonts w:ascii="Times New Roman" w:hAnsi="Times New Roman"/>
          <w:szCs w:val="24"/>
          <w:lang w:val="en-US"/>
        </w:rPr>
        <w:t>These rules require the contractor (once they employ more than twenty persons) to establish a health &amp; safety committee to address the health, safety and welfare of workers. The contractor, is required to provide space for meetings for the committee, training of the S&amp;H Committee, appoint a S&amp;H management representative, as well as allowing all staff to attend these meetings with no risk of loss of earnings, opportunities for promotion or advancement. The contractor should also make guidelines on occupational safety and health available to the Committee.</w:t>
      </w:r>
      <w:r>
        <w:rPr>
          <w:rFonts w:ascii="Times New Roman" w:hAnsi="Times New Roman"/>
          <w:szCs w:val="24"/>
          <w:lang w:val="en-US"/>
        </w:rPr>
        <w:tab/>
      </w:r>
    </w:p>
    <w:p w14:paraId="27D0B2AC">
      <w:pPr>
        <w:pStyle w:val="4"/>
        <w:numPr>
          <w:ilvl w:val="1"/>
          <w:numId w:val="34"/>
        </w:numPr>
        <w:pBdr>
          <w:bottom w:val="dashed" w:color="auto" w:sz="4" w:space="0"/>
        </w:pBdr>
        <w:shd w:val="clear" w:color="auto" w:fill="auto"/>
        <w:spacing w:line="240" w:lineRule="auto"/>
        <w:rPr>
          <w:rFonts w:ascii="Times New Roman" w:hAnsi="Times New Roman"/>
          <w:b/>
          <w:lang w:val="en-US"/>
        </w:rPr>
      </w:pPr>
      <w:bookmarkStart w:id="510" w:name="_Toc189054412"/>
      <w:bookmarkStart w:id="511" w:name="_Toc20011"/>
      <w:bookmarkStart w:id="512" w:name="_Toc220710851"/>
      <w:bookmarkStart w:id="513" w:name="_Toc22877"/>
      <w:bookmarkStart w:id="514" w:name="_Toc11279"/>
      <w:r>
        <w:rPr>
          <w:rFonts w:ascii="Times New Roman" w:hAnsi="Times New Roman"/>
          <w:b/>
          <w:lang w:val="en-US"/>
        </w:rPr>
        <w:t>F</w:t>
      </w:r>
      <w:bookmarkEnd w:id="510"/>
      <w:r>
        <w:rPr>
          <w:rFonts w:ascii="Times New Roman" w:hAnsi="Times New Roman"/>
          <w:b/>
          <w:lang w:val="en-US"/>
        </w:rPr>
        <w:t>irst Aid in the Workplace Regulations, 2024, Legal Notice 79 of 2024</w:t>
      </w:r>
      <w:bookmarkEnd w:id="511"/>
      <w:bookmarkEnd w:id="512"/>
      <w:bookmarkEnd w:id="513"/>
      <w:bookmarkEnd w:id="514"/>
    </w:p>
    <w:p w14:paraId="0C633F9D">
      <w:pPr>
        <w:spacing w:line="240" w:lineRule="auto"/>
        <w:jc w:val="both"/>
        <w:rPr>
          <w:rFonts w:ascii="Times New Roman" w:hAnsi="Times New Roman"/>
          <w:szCs w:val="24"/>
          <w:lang w:val="en-US"/>
        </w:rPr>
      </w:pPr>
      <w:r>
        <w:rPr>
          <w:rFonts w:ascii="Times New Roman" w:hAnsi="Times New Roman"/>
          <w:szCs w:val="24"/>
          <w:lang w:val="en-US"/>
        </w:rPr>
        <w:t>Mandate that Kenyan employers ensure effective first aid provisions. Key requirements include conducting an annual first-aid audit, providing adequate first-aid facilities, appointing and training first-aid personnel, and informing employees about emergency procedures. Employers must also display first aiders’ contact information, ensure vaccination for first aiders, and facilitate emergency transfers. Non-compliance is considered an offense.</w:t>
      </w:r>
    </w:p>
    <w:p w14:paraId="568C1651">
      <w:pPr>
        <w:pStyle w:val="4"/>
        <w:numPr>
          <w:ilvl w:val="1"/>
          <w:numId w:val="34"/>
        </w:numPr>
        <w:pBdr>
          <w:bottom w:val="dashed" w:color="auto" w:sz="4" w:space="0"/>
        </w:pBdr>
        <w:shd w:val="clear" w:color="auto" w:fill="auto"/>
        <w:spacing w:line="240" w:lineRule="auto"/>
        <w:rPr>
          <w:rFonts w:ascii="Times New Roman" w:hAnsi="Times New Roman"/>
          <w:b/>
          <w:lang w:val="en-US"/>
        </w:rPr>
      </w:pPr>
      <w:bookmarkStart w:id="515" w:name="_Toc66889799"/>
      <w:bookmarkEnd w:id="515"/>
      <w:bookmarkStart w:id="516" w:name="_Toc66889805"/>
      <w:bookmarkEnd w:id="516"/>
      <w:bookmarkStart w:id="517" w:name="_Toc66889809"/>
      <w:bookmarkEnd w:id="517"/>
      <w:bookmarkStart w:id="518" w:name="_Toc66889632"/>
      <w:bookmarkEnd w:id="518"/>
      <w:bookmarkStart w:id="519" w:name="_Toc66889633"/>
      <w:bookmarkEnd w:id="519"/>
      <w:bookmarkStart w:id="520" w:name="_Toc66889623"/>
      <w:bookmarkEnd w:id="520"/>
      <w:bookmarkStart w:id="521" w:name="_Toc42767773"/>
      <w:bookmarkEnd w:id="521"/>
      <w:bookmarkStart w:id="522" w:name="_Toc42767829"/>
      <w:bookmarkEnd w:id="522"/>
      <w:bookmarkStart w:id="523" w:name="_Toc66889807"/>
      <w:bookmarkEnd w:id="523"/>
      <w:bookmarkStart w:id="524" w:name="_Toc66889629"/>
      <w:bookmarkEnd w:id="524"/>
      <w:bookmarkStart w:id="525" w:name="_Toc42767800"/>
      <w:bookmarkEnd w:id="525"/>
      <w:bookmarkStart w:id="526" w:name="_Toc66889800"/>
      <w:bookmarkEnd w:id="526"/>
      <w:bookmarkStart w:id="527" w:name="_Toc42767768"/>
      <w:bookmarkEnd w:id="527"/>
      <w:bookmarkStart w:id="528" w:name="_Toc42767765"/>
      <w:bookmarkEnd w:id="528"/>
      <w:bookmarkStart w:id="529" w:name="_Toc66889627"/>
      <w:bookmarkEnd w:id="529"/>
      <w:bookmarkStart w:id="530" w:name="_Toc42767840"/>
      <w:bookmarkEnd w:id="530"/>
      <w:bookmarkStart w:id="531" w:name="_Toc42767766"/>
      <w:bookmarkEnd w:id="531"/>
      <w:bookmarkStart w:id="532" w:name="_Toc42767774"/>
      <w:bookmarkEnd w:id="532"/>
      <w:bookmarkStart w:id="533" w:name="_Toc66889630"/>
      <w:bookmarkEnd w:id="533"/>
      <w:bookmarkStart w:id="534" w:name="_Toc66889625"/>
      <w:bookmarkEnd w:id="534"/>
      <w:bookmarkStart w:id="535" w:name="_Toc66889628"/>
      <w:bookmarkEnd w:id="535"/>
      <w:bookmarkStart w:id="536" w:name="_Toc66889624"/>
      <w:bookmarkEnd w:id="536"/>
      <w:bookmarkStart w:id="537" w:name="_Toc66889808"/>
      <w:bookmarkEnd w:id="537"/>
      <w:bookmarkStart w:id="538" w:name="_Toc42767754"/>
      <w:bookmarkEnd w:id="538"/>
      <w:bookmarkStart w:id="539" w:name="_Toc42767793"/>
      <w:bookmarkEnd w:id="539"/>
      <w:bookmarkStart w:id="540" w:name="_Toc42767756"/>
      <w:bookmarkEnd w:id="540"/>
      <w:bookmarkStart w:id="541" w:name="_Toc66889631"/>
      <w:bookmarkEnd w:id="541"/>
      <w:bookmarkStart w:id="542" w:name="_Toc66889801"/>
      <w:bookmarkEnd w:id="542"/>
      <w:bookmarkStart w:id="543" w:name="_Toc66889803"/>
      <w:bookmarkEnd w:id="543"/>
      <w:bookmarkStart w:id="544" w:name="_Toc66889806"/>
      <w:bookmarkEnd w:id="544"/>
      <w:bookmarkStart w:id="545" w:name="_Toc66889804"/>
      <w:bookmarkEnd w:id="545"/>
      <w:bookmarkStart w:id="546" w:name="_Toc220710852"/>
      <w:r>
        <w:rPr>
          <w:rFonts w:ascii="Times New Roman" w:hAnsi="Times New Roman"/>
          <w:b/>
          <w:lang w:val="en-US"/>
        </w:rPr>
        <w:t>OP 4.01: Environmental Assessment</w:t>
      </w:r>
      <w:bookmarkEnd w:id="546"/>
      <w:r>
        <w:rPr>
          <w:rFonts w:ascii="Times New Roman" w:hAnsi="Times New Roman"/>
          <w:b/>
          <w:lang w:val="en-US"/>
        </w:rPr>
        <w:t xml:space="preserve"> </w:t>
      </w:r>
    </w:p>
    <w:p w14:paraId="574108AD">
      <w:pPr>
        <w:jc w:val="both"/>
        <w:rPr>
          <w:rFonts w:ascii="Times New Roman" w:hAnsi="Times New Roman"/>
          <w:szCs w:val="24"/>
          <w:lang w:val="en-US"/>
        </w:rPr>
      </w:pPr>
      <w:r>
        <w:rPr>
          <w:rFonts w:ascii="Times New Roman" w:hAnsi="Times New Roman"/>
          <w:b/>
          <w:smallCaps/>
          <w:szCs w:val="24"/>
        </w:rPr>
        <w:t xml:space="preserve"> </w:t>
      </w:r>
      <w:r>
        <w:rPr>
          <w:rFonts w:ascii="Times New Roman" w:hAnsi="Times New Roman"/>
          <w:szCs w:val="24"/>
          <w:lang w:val="en-US"/>
        </w:rPr>
        <w:t>Environmental assessment requires that all projects financed or supported by the World Bank undergo an environmental assessment to evaluate potential environmental and social impacts before project approval and implementation. The policy aims to ensure that projects are environmentally sustainable, socially acceptable, and comply with applicable national and international standards.</w:t>
      </w:r>
    </w:p>
    <w:p w14:paraId="74F6BA39">
      <w:pPr>
        <w:rPr>
          <w:rFonts w:ascii="Times New Roman" w:hAnsi="Times New Roman"/>
          <w:szCs w:val="24"/>
          <w:lang w:val="en-US"/>
        </w:rPr>
      </w:pPr>
      <w:r>
        <w:rPr>
          <w:rFonts w:ascii="Times New Roman" w:hAnsi="Times New Roman"/>
          <w:szCs w:val="24"/>
          <w:lang w:val="en-US"/>
        </w:rPr>
        <w:t>Under OP 4.01, projects are categorized based on the magnitude and significance of their potential impacts:</w:t>
      </w:r>
    </w:p>
    <w:p w14:paraId="385313B2">
      <w:pPr>
        <w:spacing w:after="0"/>
        <w:jc w:val="both"/>
        <w:rPr>
          <w:rFonts w:ascii="Times New Roman" w:hAnsi="Times New Roman"/>
          <w:szCs w:val="24"/>
          <w:lang w:val="en-US"/>
        </w:rPr>
      </w:pPr>
      <w:r>
        <w:rPr>
          <w:rFonts w:ascii="Times New Roman" w:hAnsi="Times New Roman"/>
          <w:szCs w:val="24"/>
          <w:lang w:val="en-US"/>
        </w:rPr>
        <w:t>Category A: Projects with potential significant adverse environmental impacts that are sensitive, diverse, or unprecedented.</w:t>
      </w:r>
    </w:p>
    <w:p w14:paraId="66275839">
      <w:pPr>
        <w:spacing w:after="0"/>
        <w:jc w:val="both"/>
        <w:rPr>
          <w:rFonts w:ascii="Times New Roman" w:hAnsi="Times New Roman"/>
          <w:szCs w:val="24"/>
          <w:lang w:val="en-US"/>
        </w:rPr>
      </w:pPr>
      <w:r>
        <w:rPr>
          <w:rFonts w:ascii="Times New Roman" w:hAnsi="Times New Roman"/>
          <w:szCs w:val="24"/>
          <w:lang w:val="en-US"/>
        </w:rPr>
        <w:t>Category B: Projects with potentially limited adverse environmental impacts, which are site-specific, few in number, and can be mitigated.</w:t>
      </w:r>
    </w:p>
    <w:p w14:paraId="0E706444">
      <w:pPr>
        <w:spacing w:after="0"/>
        <w:jc w:val="both"/>
        <w:rPr>
          <w:rFonts w:ascii="Times New Roman" w:hAnsi="Times New Roman"/>
          <w:szCs w:val="24"/>
          <w:lang w:val="en-US"/>
        </w:rPr>
      </w:pPr>
      <w:r>
        <w:rPr>
          <w:rFonts w:ascii="Times New Roman" w:hAnsi="Times New Roman"/>
          <w:szCs w:val="24"/>
          <w:lang w:val="en-US"/>
        </w:rPr>
        <w:t>Category C: Projects with minimal or no adverse environmental impacts.</w:t>
      </w:r>
    </w:p>
    <w:p w14:paraId="08C34B37">
      <w:pPr>
        <w:jc w:val="both"/>
        <w:rPr>
          <w:rFonts w:ascii="Times New Roman" w:hAnsi="Times New Roman"/>
          <w:szCs w:val="24"/>
          <w:lang w:val="en-US"/>
        </w:rPr>
      </w:pPr>
      <w:r>
        <w:rPr>
          <w:rFonts w:ascii="Times New Roman" w:hAnsi="Times New Roman"/>
          <w:szCs w:val="24"/>
          <w:lang w:val="en-US"/>
        </w:rPr>
        <w:t>The policy requires the preparation of Environmental Impact Assessments (EIA) or Environmental Management Plans (EMP) as appropriate, with public consultation and disclosure of findings. It also emphasizes the integration of environmental considerations into the decision-making process, including project design, implementation, and monitoring.</w:t>
      </w:r>
    </w:p>
    <w:p w14:paraId="47292D89">
      <w:pPr>
        <w:jc w:val="both"/>
        <w:rPr>
          <w:rFonts w:ascii="Times New Roman" w:hAnsi="Times New Roman"/>
          <w:szCs w:val="24"/>
          <w:lang w:val="en-US"/>
        </w:rPr>
      </w:pPr>
      <w:r>
        <w:rPr>
          <w:rFonts w:ascii="Times New Roman" w:hAnsi="Times New Roman"/>
          <w:szCs w:val="24"/>
          <w:lang w:val="en-US"/>
        </w:rPr>
        <w:t>This SPR is being conducted in line with OP 4.01, mitigation measures have been identified, and public/stakeholder consultations will be undertaken to ensure compliance with both national regulations and World Bank safeguards.</w:t>
      </w:r>
    </w:p>
    <w:p w14:paraId="11C4AF39">
      <w:pPr>
        <w:pStyle w:val="4"/>
        <w:numPr>
          <w:ilvl w:val="1"/>
          <w:numId w:val="34"/>
        </w:numPr>
        <w:pBdr>
          <w:bottom w:val="dashed" w:color="auto" w:sz="4" w:space="0"/>
        </w:pBdr>
        <w:shd w:val="clear" w:color="auto" w:fill="auto"/>
        <w:spacing w:line="240" w:lineRule="auto"/>
        <w:rPr>
          <w:rFonts w:ascii="Times New Roman" w:hAnsi="Times New Roman"/>
          <w:b/>
          <w:lang w:val="en-US"/>
        </w:rPr>
      </w:pPr>
      <w:bookmarkStart w:id="547" w:name="_Toc220710853"/>
      <w:r>
        <w:rPr>
          <w:rFonts w:ascii="Times New Roman" w:hAnsi="Times New Roman"/>
          <w:b/>
          <w:lang w:val="en-US"/>
        </w:rPr>
        <w:t>OP 4.11: Physical Cultural Resources</w:t>
      </w:r>
      <w:bookmarkEnd w:id="547"/>
    </w:p>
    <w:p w14:paraId="4182D800">
      <w:pPr>
        <w:jc w:val="both"/>
        <w:rPr>
          <w:rFonts w:ascii="Times New Roman" w:hAnsi="Times New Roman"/>
          <w:szCs w:val="24"/>
          <w:lang w:val="en-US"/>
        </w:rPr>
      </w:pPr>
      <w:r>
        <w:rPr>
          <w:rFonts w:ascii="Times New Roman" w:hAnsi="Times New Roman"/>
          <w:szCs w:val="24"/>
          <w:lang w:val="en-US"/>
        </w:rPr>
        <w:t>Aims to assist in the preservation of physical cultural resources and to avoid their destruction or damage. This policy applies to movable or immovable objects, sites, structures, groups of structures, and natural features and landscapes that have archaeological,</w:t>
      </w:r>
      <w:r>
        <w:rPr>
          <w:rFonts w:ascii="Times New Roman" w:hAnsi="Times New Roman"/>
          <w:bCs/>
          <w:smallCaps/>
          <w:szCs w:val="24"/>
        </w:rPr>
        <w:t xml:space="preserve"> </w:t>
      </w:r>
      <w:r>
        <w:rPr>
          <w:rFonts w:ascii="Times New Roman" w:hAnsi="Times New Roman"/>
          <w:szCs w:val="24"/>
          <w:lang w:val="en-US"/>
        </w:rPr>
        <w:t>paleontological, historical, architectural, religious, aesthetic, or other cultural significance. As part of the EA process, the project has screened for the presence of known cultural heritage sites. Due to the historical sensitivity of the coastal region, the project design has been adjusted to avoid any encroachment on documented heritage zones. In accordance with OP 4.11, during the project implementation, a formal "chance finds procedure" is to be established if archaeological or cultural resources are encountered</w:t>
      </w:r>
      <w:r>
        <w:rPr>
          <w:rFonts w:ascii="Times New Roman" w:hAnsi="Times New Roman"/>
          <w:bCs/>
          <w:smallCaps/>
          <w:szCs w:val="24"/>
        </w:rPr>
        <w:t xml:space="preserve"> </w:t>
      </w:r>
      <w:r>
        <w:rPr>
          <w:rFonts w:ascii="Times New Roman" w:hAnsi="Times New Roman"/>
          <w:szCs w:val="24"/>
          <w:lang w:val="en-US"/>
        </w:rPr>
        <w:t>during excavation in the sandy strata, the contractor is legally required to suspend work immediately and notify the relevant lead agencies (such as the National Museums of Kenya). Any identified physical cultural resources will be managed through the project’s ESMP, which includes measures for site protection, documentation, and, where necessary, the scientific salvage of artifacts before construction resumes.</w:t>
      </w:r>
    </w:p>
    <w:p w14:paraId="53A55DFA">
      <w:pPr>
        <w:pStyle w:val="4"/>
        <w:numPr>
          <w:ilvl w:val="1"/>
          <w:numId w:val="34"/>
        </w:numPr>
        <w:pBdr>
          <w:bottom w:val="dashed" w:color="auto" w:sz="4" w:space="0"/>
        </w:pBdr>
        <w:shd w:val="clear" w:color="auto" w:fill="auto"/>
        <w:spacing w:line="240" w:lineRule="auto"/>
        <w:rPr>
          <w:rFonts w:ascii="Times New Roman" w:hAnsi="Times New Roman"/>
          <w:b/>
          <w:lang w:val="en-US"/>
        </w:rPr>
      </w:pPr>
      <w:bookmarkStart w:id="548" w:name="_Toc220710854"/>
      <w:r>
        <w:rPr>
          <w:rFonts w:ascii="Times New Roman" w:hAnsi="Times New Roman"/>
          <w:b/>
          <w:lang w:val="en-US"/>
        </w:rPr>
        <w:t>WB EHS General Guidelines</w:t>
      </w:r>
      <w:bookmarkEnd w:id="548"/>
    </w:p>
    <w:p w14:paraId="0A1321D5">
      <w:pPr>
        <w:jc w:val="both"/>
        <w:rPr>
          <w:rFonts w:ascii="Times New Roman" w:hAnsi="Times New Roman"/>
          <w:b/>
          <w:smallCaps/>
          <w:szCs w:val="24"/>
        </w:rPr>
      </w:pPr>
      <w:r>
        <w:rPr>
          <w:rFonts w:ascii="Times New Roman" w:hAnsi="Times New Roman"/>
          <w:szCs w:val="24"/>
          <w:lang w:val="en-US"/>
        </w:rPr>
        <w:t>The Environmental, Health, and Safety (EHS) Guidelines are technical reference documents with general and industry-specific examples of Good International Industry Practice (GIIP).  The EHS Guidelines were first issued on April 30, 2007 and contain the performance levels and measures that are generally considered to be achievable in new facilities by existing technology at reasonable cost</w:t>
      </w:r>
      <w:r>
        <w:rPr>
          <w:rFonts w:ascii="Times New Roman" w:hAnsi="Times New Roman"/>
          <w:b/>
          <w:smallCaps/>
          <w:szCs w:val="24"/>
        </w:rPr>
        <w:t>.</w:t>
      </w:r>
    </w:p>
    <w:p w14:paraId="1B058BF9">
      <w:pPr>
        <w:pStyle w:val="4"/>
        <w:numPr>
          <w:ilvl w:val="1"/>
          <w:numId w:val="34"/>
        </w:numPr>
        <w:pBdr>
          <w:bottom w:val="dashed" w:color="auto" w:sz="4" w:space="0"/>
        </w:pBdr>
        <w:shd w:val="clear" w:color="auto" w:fill="auto"/>
        <w:spacing w:line="240" w:lineRule="auto"/>
        <w:rPr>
          <w:rFonts w:ascii="Times New Roman" w:hAnsi="Times New Roman"/>
          <w:b/>
          <w:lang w:val="en-US"/>
        </w:rPr>
      </w:pPr>
      <w:bookmarkStart w:id="549" w:name="_Toc220710855"/>
      <w:r>
        <w:rPr>
          <w:rFonts w:ascii="Times New Roman" w:hAnsi="Times New Roman"/>
          <w:b/>
          <w:lang w:val="en-US"/>
        </w:rPr>
        <w:t>WB EHS Guidelines for Water and Sanitation</w:t>
      </w:r>
      <w:bookmarkEnd w:id="549"/>
      <w:r>
        <w:rPr>
          <w:rFonts w:ascii="Times New Roman" w:hAnsi="Times New Roman"/>
          <w:b/>
          <w:lang w:val="en-US"/>
        </w:rPr>
        <w:t xml:space="preserve"> </w:t>
      </w:r>
    </w:p>
    <w:p w14:paraId="3ED78DA6">
      <w:pPr>
        <w:jc w:val="both"/>
        <w:rPr>
          <w:rFonts w:ascii="Times New Roman" w:hAnsi="Times New Roman"/>
          <w:szCs w:val="24"/>
          <w:lang w:val="en-US"/>
        </w:rPr>
      </w:pPr>
      <w:r>
        <w:rPr>
          <w:rFonts w:ascii="Times New Roman" w:hAnsi="Times New Roman"/>
          <w:szCs w:val="24"/>
          <w:lang w:val="en-US"/>
        </w:rPr>
        <w:t>The World Bank Environmental, Health, and Safety (EHS) Guidelines for Water and Sanitation serve as technical reference documents to ensure project performance levels meet international standards. They are designed to minimize environmental, health, and safety risks to workers, users, and surrounding communities, while promoting sustainable management of water resources.</w:t>
      </w:r>
    </w:p>
    <w:p w14:paraId="6E61EA00">
      <w:pPr>
        <w:pStyle w:val="4"/>
        <w:numPr>
          <w:ilvl w:val="1"/>
          <w:numId w:val="34"/>
        </w:numPr>
        <w:pBdr>
          <w:bottom w:val="dashed" w:color="auto" w:sz="4" w:space="0"/>
        </w:pBdr>
        <w:shd w:val="clear" w:color="auto" w:fill="auto"/>
        <w:spacing w:line="240" w:lineRule="auto"/>
        <w:rPr>
          <w:rFonts w:ascii="Times New Roman" w:hAnsi="Times New Roman"/>
          <w:b/>
          <w:lang w:val="en-US"/>
        </w:rPr>
      </w:pPr>
      <w:bookmarkStart w:id="550" w:name="_Toc220710856"/>
      <w:r>
        <w:rPr>
          <w:rFonts w:ascii="Times New Roman" w:hAnsi="Times New Roman"/>
          <w:b/>
          <w:lang w:val="en-US"/>
        </w:rPr>
        <w:t>WB EHS Guidelines for Materials Extraction</w:t>
      </w:r>
      <w:bookmarkEnd w:id="550"/>
    </w:p>
    <w:p w14:paraId="3D5AF3E4">
      <w:pPr>
        <w:jc w:val="both"/>
        <w:rPr>
          <w:rFonts w:ascii="Times New Roman" w:hAnsi="Times New Roman"/>
          <w:szCs w:val="24"/>
          <w:lang w:val="en-US"/>
        </w:rPr>
        <w:sectPr>
          <w:pgSz w:w="11906" w:h="16838"/>
          <w:pgMar w:top="1440" w:right="1440" w:bottom="1440" w:left="1440" w:header="720" w:footer="720" w:gutter="0"/>
          <w:cols w:space="720" w:num="1"/>
          <w:docGrid w:linePitch="360" w:charSpace="0"/>
        </w:sectPr>
      </w:pPr>
      <w:r>
        <w:rPr>
          <w:rFonts w:ascii="Times New Roman" w:hAnsi="Times New Roman"/>
          <w:szCs w:val="24"/>
          <w:lang w:val="en-US"/>
        </w:rPr>
        <w:t xml:space="preserve">These guidelines provide technical guidance for the extraction of raw materials, including sand, gravel, and stone, whether from stand-alone quarries or borrow pits supporting the project. Given the project's location in Kilifi, these guidelines are critical for managing the impacts of material sourcing on the local landscape and hydrological systems. Extraction activities must implement rigorous dust suppression, particularly during crushing and transport. The guidelines mandate the prevention of siltation and contamination of water bodies. For this project, specific focus is placed on preventing sediment-laden runoff from borrow pits from entering the local drainage system, which could otherwise facilitate rapid contaminant transport through the porous sandy strata. Mitigation measures must be employed to minimize noise from blasting (if required) and heavy machinery. </w:t>
      </w:r>
    </w:p>
    <w:p w14:paraId="654B4F43">
      <w:pPr>
        <w:pStyle w:val="2"/>
        <w:numPr>
          <w:ilvl w:val="0"/>
          <w:numId w:val="25"/>
        </w:numPr>
        <w:shd w:val="clear" w:color="auto" w:fill="auto"/>
        <w:spacing w:line="240" w:lineRule="auto"/>
        <w:rPr>
          <w:rFonts w:ascii="Times New Roman" w:hAnsi="Times New Roman"/>
          <w:szCs w:val="24"/>
        </w:rPr>
      </w:pPr>
      <w:bookmarkStart w:id="551" w:name="_Toc66889826"/>
      <w:bookmarkEnd w:id="551"/>
      <w:bookmarkStart w:id="552" w:name="_Toc66889650"/>
      <w:bookmarkEnd w:id="552"/>
      <w:bookmarkStart w:id="553" w:name="_Toc66889649"/>
      <w:bookmarkEnd w:id="553"/>
      <w:bookmarkStart w:id="554" w:name="_Toc66889825"/>
      <w:bookmarkEnd w:id="554"/>
      <w:bookmarkStart w:id="555" w:name="_Toc26626"/>
      <w:bookmarkStart w:id="556" w:name="_Toc27541"/>
      <w:bookmarkStart w:id="557" w:name="_Toc514235260"/>
      <w:bookmarkStart w:id="558" w:name="_Toc220710857"/>
      <w:bookmarkStart w:id="559" w:name="_Toc596"/>
      <w:r>
        <w:rPr>
          <w:rFonts w:ascii="Times New Roman" w:hAnsi="Times New Roman"/>
          <w:szCs w:val="24"/>
        </w:rPr>
        <w:t>ENVIRONMENT AND SOCIAL IMPACTS OF THE PROPOSED PROJECT</w:t>
      </w:r>
      <w:bookmarkEnd w:id="555"/>
      <w:bookmarkEnd w:id="556"/>
      <w:bookmarkEnd w:id="557"/>
      <w:bookmarkEnd w:id="558"/>
      <w:bookmarkEnd w:id="559"/>
    </w:p>
    <w:p w14:paraId="152CAA97">
      <w:pPr>
        <w:spacing w:after="200" w:line="240" w:lineRule="auto"/>
        <w:jc w:val="both"/>
        <w:rPr>
          <w:rFonts w:ascii="Times New Roman" w:hAnsi="Times New Roman"/>
          <w:szCs w:val="24"/>
        </w:rPr>
      </w:pPr>
      <w:r>
        <w:rPr>
          <w:rFonts w:ascii="Times New Roman" w:hAnsi="Times New Roman"/>
          <w:szCs w:val="24"/>
        </w:rPr>
        <w:t>This Chapter presents an assessment of the issues likely to arise because of implementation of the proposed Ablution Block at KIMAWASCO Head Office. An environmental or social impact is any change to the existing condition of the environment caused by human activity or an external influence. Impacts may be:</w:t>
      </w:r>
    </w:p>
    <w:p w14:paraId="6D990FE3">
      <w:pPr>
        <w:numPr>
          <w:ilvl w:val="2"/>
          <w:numId w:val="39"/>
        </w:numPr>
        <w:spacing w:after="0" w:line="240" w:lineRule="auto"/>
        <w:jc w:val="both"/>
        <w:rPr>
          <w:rFonts w:ascii="Times New Roman" w:hAnsi="Times New Roman"/>
          <w:szCs w:val="24"/>
        </w:rPr>
      </w:pPr>
      <w:r>
        <w:rPr>
          <w:rFonts w:ascii="Times New Roman" w:hAnsi="Times New Roman"/>
          <w:szCs w:val="24"/>
        </w:rPr>
        <w:t>Positive (beneficial) or negative (adverse);</w:t>
      </w:r>
    </w:p>
    <w:p w14:paraId="240357AD">
      <w:pPr>
        <w:numPr>
          <w:ilvl w:val="2"/>
          <w:numId w:val="39"/>
        </w:numPr>
        <w:spacing w:after="0" w:line="240" w:lineRule="auto"/>
        <w:jc w:val="both"/>
        <w:rPr>
          <w:rFonts w:ascii="Times New Roman" w:hAnsi="Times New Roman"/>
          <w:szCs w:val="24"/>
        </w:rPr>
      </w:pPr>
      <w:r>
        <w:rPr>
          <w:rFonts w:ascii="Times New Roman" w:hAnsi="Times New Roman"/>
          <w:szCs w:val="24"/>
        </w:rPr>
        <w:t>Direct or indirect, long-term or short-term in duration, and wide-spread or local in the extent of their effect.</w:t>
      </w:r>
    </w:p>
    <w:p w14:paraId="2F474404">
      <w:pPr>
        <w:spacing w:after="200" w:line="240" w:lineRule="auto"/>
        <w:jc w:val="both"/>
        <w:rPr>
          <w:rFonts w:ascii="Times New Roman" w:hAnsi="Times New Roman"/>
          <w:szCs w:val="24"/>
        </w:rPr>
      </w:pPr>
      <w:r>
        <w:rPr>
          <w:rFonts w:ascii="Times New Roman" w:hAnsi="Times New Roman"/>
          <w:szCs w:val="24"/>
        </w:rPr>
        <w:t>Impacts are termed cumulative when they add incrementally to existing impacts. In the case of the Project, potential environmental impacts would arise during the construction and operation phases of the Project and at both stages positive and negative impacts would occur.</w:t>
      </w:r>
    </w:p>
    <w:p w14:paraId="5C0921D2">
      <w:pPr>
        <w:spacing w:after="200" w:line="240" w:lineRule="auto"/>
        <w:jc w:val="both"/>
        <w:rPr>
          <w:rFonts w:ascii="Times New Roman" w:hAnsi="Times New Roman"/>
          <w:szCs w:val="24"/>
        </w:rPr>
      </w:pPr>
      <w:r>
        <w:rPr>
          <w:rFonts w:ascii="Times New Roman" w:hAnsi="Times New Roman"/>
          <w:szCs w:val="24"/>
        </w:rPr>
        <w:t>In general, successful implementation of the project will have high environmental and socio-economic benefits to the people and will contribute to the health and wellbeing. Overall, expected negative impacts are related to the construction of the various sanitary measures as well as their general operation.  These impacts are localized and not considered significant and long-lasting and can be mitigated through appropriate mitigation measures. The severity and duration of these impacts can be minimized by ensuring that the excavation and construction works are limited to short working sections, and that works are carried out rapidly and efficiently.</w:t>
      </w:r>
    </w:p>
    <w:p w14:paraId="6563635B">
      <w:pPr>
        <w:pStyle w:val="3"/>
        <w:rPr>
          <w:rFonts w:ascii="Times New Roman" w:hAnsi="Times New Roman" w:cs="Times New Roman"/>
          <w:sz w:val="24"/>
          <w:szCs w:val="24"/>
        </w:rPr>
      </w:pPr>
      <w:bookmarkStart w:id="560" w:name="_Toc514235261"/>
      <w:bookmarkStart w:id="561" w:name="_Toc220710858"/>
      <w:r>
        <w:rPr>
          <w:rFonts w:ascii="Times New Roman" w:hAnsi="Times New Roman" w:cs="Times New Roman"/>
          <w:sz w:val="24"/>
          <w:szCs w:val="24"/>
        </w:rPr>
        <w:t>7.1</w:t>
      </w:r>
      <w:r>
        <w:rPr>
          <w:rFonts w:ascii="Times New Roman" w:hAnsi="Times New Roman" w:cs="Times New Roman"/>
          <w:sz w:val="24"/>
          <w:szCs w:val="24"/>
        </w:rPr>
        <w:tab/>
      </w:r>
      <w:r>
        <w:rPr>
          <w:rFonts w:ascii="Times New Roman" w:hAnsi="Times New Roman" w:cs="Times New Roman"/>
          <w:sz w:val="24"/>
          <w:szCs w:val="24"/>
        </w:rPr>
        <w:t>Impact Identification</w:t>
      </w:r>
      <w:bookmarkEnd w:id="560"/>
      <w:bookmarkEnd w:id="561"/>
    </w:p>
    <w:p w14:paraId="30E793BE">
      <w:pPr>
        <w:spacing w:line="240" w:lineRule="auto"/>
        <w:jc w:val="both"/>
        <w:rPr>
          <w:rFonts w:ascii="Times New Roman" w:hAnsi="Times New Roman"/>
          <w:szCs w:val="24"/>
        </w:rPr>
      </w:pPr>
      <w:r>
        <w:rPr>
          <w:rFonts w:ascii="Times New Roman" w:hAnsi="Times New Roman"/>
          <w:szCs w:val="24"/>
        </w:rPr>
        <w:t>The identification of impacts in the ESIA study generally used the following methods:</w:t>
      </w:r>
    </w:p>
    <w:p w14:paraId="3F1BB943">
      <w:pPr>
        <w:pStyle w:val="32"/>
        <w:numPr>
          <w:ilvl w:val="0"/>
          <w:numId w:val="40"/>
        </w:numPr>
        <w:spacing w:line="240" w:lineRule="auto"/>
        <w:jc w:val="both"/>
        <w:rPr>
          <w:rFonts w:ascii="Times New Roman" w:hAnsi="Times New Roman"/>
          <w:szCs w:val="24"/>
        </w:rPr>
      </w:pPr>
      <w:r>
        <w:rPr>
          <w:rFonts w:ascii="Times New Roman" w:hAnsi="Times New Roman"/>
          <w:szCs w:val="24"/>
        </w:rPr>
        <w:t>Compilation of a comprehensive list of key environmental and social impacts. These are such as changes in air and water quality, noise levels, wildlife habitats, bio-diversity, landscape, social and economic systems, cultural heritage, settlement patterns, and employment levels.</w:t>
      </w:r>
    </w:p>
    <w:p w14:paraId="259F25FE">
      <w:pPr>
        <w:pStyle w:val="32"/>
        <w:numPr>
          <w:ilvl w:val="0"/>
          <w:numId w:val="40"/>
        </w:numPr>
        <w:spacing w:line="240" w:lineRule="auto"/>
        <w:jc w:val="both"/>
        <w:rPr>
          <w:rFonts w:ascii="Times New Roman" w:hAnsi="Times New Roman"/>
          <w:szCs w:val="24"/>
        </w:rPr>
      </w:pPr>
      <w:r>
        <w:rPr>
          <w:rFonts w:ascii="Times New Roman" w:hAnsi="Times New Roman"/>
          <w:szCs w:val="24"/>
        </w:rPr>
        <w:t>Identification of all the sources of impacts such as dust, spoils, vehicles emissions, water pollution, construction camps, etc. using checklists or questionnaires. This was followed by listing possible receptors in the environment (e.g., crops, communities, and migrant labourers) through surveying the existing environmental and socio-economic conditions and consultation with concerned parties.</w:t>
      </w:r>
    </w:p>
    <w:p w14:paraId="65815544">
      <w:pPr>
        <w:pStyle w:val="32"/>
        <w:numPr>
          <w:ilvl w:val="0"/>
          <w:numId w:val="40"/>
        </w:numPr>
        <w:spacing w:line="240" w:lineRule="auto"/>
        <w:jc w:val="both"/>
        <w:rPr>
          <w:rFonts w:ascii="Times New Roman" w:hAnsi="Times New Roman"/>
          <w:szCs w:val="24"/>
        </w:rPr>
      </w:pPr>
      <w:r>
        <w:rPr>
          <w:rFonts w:ascii="Times New Roman" w:hAnsi="Times New Roman"/>
          <w:szCs w:val="24"/>
        </w:rPr>
        <w:t>Identifying and quantifying various environmental and socio-economic impacts using checklists, interaction matrices and overlays.</w:t>
      </w:r>
    </w:p>
    <w:p w14:paraId="2DB1034C">
      <w:pPr>
        <w:pStyle w:val="3"/>
        <w:rPr>
          <w:rFonts w:ascii="Times New Roman" w:hAnsi="Times New Roman" w:cs="Times New Roman"/>
          <w:sz w:val="24"/>
          <w:szCs w:val="24"/>
        </w:rPr>
      </w:pPr>
      <w:bookmarkStart w:id="562" w:name="_Toc514235262"/>
      <w:bookmarkStart w:id="563" w:name="_Toc220710859"/>
      <w:r>
        <w:rPr>
          <w:rFonts w:ascii="Times New Roman" w:hAnsi="Times New Roman" w:cs="Times New Roman"/>
          <w:sz w:val="24"/>
          <w:szCs w:val="24"/>
        </w:rPr>
        <w:t>7.2</w:t>
      </w:r>
      <w:r>
        <w:rPr>
          <w:rFonts w:ascii="Times New Roman" w:hAnsi="Times New Roman" w:cs="Times New Roman"/>
          <w:sz w:val="24"/>
          <w:szCs w:val="24"/>
        </w:rPr>
        <w:tab/>
      </w:r>
      <w:r>
        <w:rPr>
          <w:rFonts w:ascii="Times New Roman" w:hAnsi="Times New Roman" w:cs="Times New Roman"/>
          <w:sz w:val="24"/>
          <w:szCs w:val="24"/>
        </w:rPr>
        <w:t>Impact Prediction</w:t>
      </w:r>
      <w:bookmarkEnd w:id="562"/>
      <w:bookmarkEnd w:id="563"/>
    </w:p>
    <w:p w14:paraId="7AD83C2B">
      <w:pPr>
        <w:spacing w:line="240" w:lineRule="auto"/>
        <w:jc w:val="both"/>
        <w:rPr>
          <w:rFonts w:ascii="Times New Roman" w:hAnsi="Times New Roman"/>
          <w:szCs w:val="24"/>
        </w:rPr>
      </w:pPr>
      <w:r>
        <w:rPr>
          <w:rFonts w:ascii="Times New Roman" w:hAnsi="Times New Roman"/>
          <w:szCs w:val="24"/>
        </w:rPr>
        <w:t xml:space="preserve">Prediction of impacts technically </w:t>
      </w:r>
      <w:r>
        <w:rPr>
          <w:rFonts w:ascii="Times New Roman" w:hAnsi="Times New Roman"/>
          <w:szCs w:val="24"/>
          <w:lang w:val="en-US"/>
        </w:rPr>
        <w:t>characterises</w:t>
      </w:r>
      <w:r>
        <w:rPr>
          <w:rFonts w:ascii="Times New Roman" w:hAnsi="Times New Roman"/>
          <w:szCs w:val="24"/>
        </w:rPr>
        <w:t xml:space="preserve"> the causes and effects of impacts, and their secondary and synergistic consequences for the environment and the local community. It examines each impact within a single environmental parameter into its subsequent effects in many disciplines (e.g., deterioration of water quality). It draws on physical, biological, socio-economic, and anthropological data and techniques. In quantifying impacts, it employs socio-cultural models, economic models, and expert judgments.</w:t>
      </w:r>
    </w:p>
    <w:p w14:paraId="54893B5A">
      <w:pPr>
        <w:spacing w:line="240" w:lineRule="auto"/>
        <w:jc w:val="both"/>
        <w:rPr>
          <w:rFonts w:ascii="Times New Roman" w:hAnsi="Times New Roman"/>
          <w:szCs w:val="24"/>
        </w:rPr>
      </w:pPr>
      <w:r>
        <w:rPr>
          <w:rFonts w:ascii="Times New Roman" w:hAnsi="Times New Roman"/>
          <w:szCs w:val="24"/>
        </w:rPr>
        <w:t>It is worth noting that as prediction techniques of environmental impacts, by their nature, involve some degree of uncertainty.</w:t>
      </w:r>
    </w:p>
    <w:p w14:paraId="2FB6BDBE">
      <w:pPr>
        <w:pStyle w:val="3"/>
        <w:rPr>
          <w:rFonts w:ascii="Times New Roman" w:hAnsi="Times New Roman" w:cs="Times New Roman"/>
          <w:sz w:val="24"/>
          <w:szCs w:val="24"/>
        </w:rPr>
      </w:pPr>
      <w:bookmarkStart w:id="564" w:name="_Toc514235263"/>
      <w:bookmarkStart w:id="565" w:name="_Toc220710860"/>
      <w:r>
        <w:rPr>
          <w:rFonts w:ascii="Times New Roman" w:hAnsi="Times New Roman" w:cs="Times New Roman"/>
          <w:sz w:val="24"/>
          <w:szCs w:val="24"/>
        </w:rPr>
        <w:t>7.3</w:t>
      </w:r>
      <w:r>
        <w:rPr>
          <w:rFonts w:ascii="Times New Roman" w:hAnsi="Times New Roman" w:cs="Times New Roman"/>
          <w:sz w:val="24"/>
          <w:szCs w:val="24"/>
        </w:rPr>
        <w:tab/>
      </w:r>
      <w:r>
        <w:rPr>
          <w:rFonts w:ascii="Times New Roman" w:hAnsi="Times New Roman" w:cs="Times New Roman"/>
          <w:sz w:val="24"/>
          <w:szCs w:val="24"/>
        </w:rPr>
        <w:t>Mitigation of Impacts</w:t>
      </w:r>
      <w:bookmarkEnd w:id="564"/>
      <w:bookmarkEnd w:id="565"/>
      <w:r>
        <w:rPr>
          <w:rFonts w:ascii="Times New Roman" w:hAnsi="Times New Roman" w:cs="Times New Roman"/>
          <w:sz w:val="24"/>
          <w:szCs w:val="24"/>
        </w:rPr>
        <w:t xml:space="preserve"> </w:t>
      </w:r>
    </w:p>
    <w:p w14:paraId="1099F7E5">
      <w:pPr>
        <w:spacing w:line="240" w:lineRule="auto"/>
        <w:jc w:val="both"/>
        <w:rPr>
          <w:rFonts w:ascii="Times New Roman" w:hAnsi="Times New Roman"/>
          <w:szCs w:val="24"/>
        </w:rPr>
      </w:pPr>
      <w:r>
        <w:rPr>
          <w:rFonts w:ascii="Times New Roman" w:hAnsi="Times New Roman"/>
          <w:szCs w:val="24"/>
        </w:rPr>
        <w:t>Each predicted adverse impact is evaluated to determine whether it is significant enough to warrant mitigation. This judgment of significance has been based on one or more of the following:</w:t>
      </w:r>
    </w:p>
    <w:p w14:paraId="7DC7C5CF">
      <w:pPr>
        <w:pStyle w:val="32"/>
        <w:numPr>
          <w:ilvl w:val="0"/>
          <w:numId w:val="41"/>
        </w:numPr>
        <w:spacing w:line="240" w:lineRule="auto"/>
        <w:jc w:val="both"/>
        <w:rPr>
          <w:rFonts w:ascii="Times New Roman" w:hAnsi="Times New Roman"/>
          <w:szCs w:val="24"/>
        </w:rPr>
      </w:pPr>
      <w:r>
        <w:rPr>
          <w:rFonts w:ascii="Times New Roman" w:hAnsi="Times New Roman"/>
          <w:szCs w:val="24"/>
        </w:rPr>
        <w:t>Comparison with laws, regulations or accepted standards;</w:t>
      </w:r>
    </w:p>
    <w:p w14:paraId="73FC8A2F">
      <w:pPr>
        <w:pStyle w:val="32"/>
        <w:numPr>
          <w:ilvl w:val="0"/>
          <w:numId w:val="41"/>
        </w:numPr>
        <w:spacing w:line="240" w:lineRule="auto"/>
        <w:jc w:val="both"/>
        <w:rPr>
          <w:rFonts w:ascii="Times New Roman" w:hAnsi="Times New Roman"/>
          <w:szCs w:val="24"/>
        </w:rPr>
      </w:pPr>
      <w:r>
        <w:rPr>
          <w:rFonts w:ascii="Times New Roman" w:hAnsi="Times New Roman"/>
          <w:szCs w:val="24"/>
        </w:rPr>
        <w:t>Consultation with the relevant decision makers;</w:t>
      </w:r>
    </w:p>
    <w:p w14:paraId="3A4E342C">
      <w:pPr>
        <w:pStyle w:val="32"/>
        <w:numPr>
          <w:ilvl w:val="0"/>
          <w:numId w:val="41"/>
        </w:numPr>
        <w:spacing w:line="240" w:lineRule="auto"/>
        <w:jc w:val="both"/>
        <w:rPr>
          <w:rFonts w:ascii="Times New Roman" w:hAnsi="Times New Roman"/>
          <w:szCs w:val="24"/>
        </w:rPr>
      </w:pPr>
      <w:r>
        <w:rPr>
          <w:rFonts w:ascii="Times New Roman" w:hAnsi="Times New Roman"/>
          <w:szCs w:val="24"/>
        </w:rPr>
        <w:t>Reference to present criteria such as protected sites, or endangered species</w:t>
      </w:r>
    </w:p>
    <w:p w14:paraId="653442A4">
      <w:pPr>
        <w:pStyle w:val="32"/>
        <w:numPr>
          <w:ilvl w:val="0"/>
          <w:numId w:val="41"/>
        </w:numPr>
        <w:spacing w:line="240" w:lineRule="auto"/>
        <w:jc w:val="both"/>
        <w:rPr>
          <w:rFonts w:ascii="Times New Roman" w:hAnsi="Times New Roman"/>
          <w:szCs w:val="24"/>
        </w:rPr>
      </w:pPr>
      <w:r>
        <w:rPr>
          <w:rFonts w:ascii="Times New Roman" w:hAnsi="Times New Roman"/>
          <w:szCs w:val="24"/>
        </w:rPr>
        <w:t xml:space="preserve">Consistency with government policy objectives </w:t>
      </w:r>
    </w:p>
    <w:p w14:paraId="20ED726F">
      <w:pPr>
        <w:pStyle w:val="32"/>
        <w:numPr>
          <w:ilvl w:val="0"/>
          <w:numId w:val="41"/>
        </w:numPr>
        <w:spacing w:line="240" w:lineRule="auto"/>
        <w:jc w:val="both"/>
        <w:rPr>
          <w:rFonts w:ascii="Times New Roman" w:hAnsi="Times New Roman"/>
          <w:szCs w:val="24"/>
        </w:rPr>
      </w:pPr>
      <w:r>
        <w:rPr>
          <w:rFonts w:ascii="Times New Roman" w:hAnsi="Times New Roman"/>
          <w:szCs w:val="24"/>
        </w:rPr>
        <w:t>Acceptability to the local community or the general public</w:t>
      </w:r>
    </w:p>
    <w:p w14:paraId="504BD288">
      <w:pPr>
        <w:pStyle w:val="3"/>
        <w:rPr>
          <w:rFonts w:ascii="Times New Roman" w:hAnsi="Times New Roman" w:cs="Times New Roman"/>
          <w:sz w:val="24"/>
          <w:szCs w:val="24"/>
        </w:rPr>
      </w:pPr>
      <w:bookmarkStart w:id="566" w:name="_Toc220710861"/>
      <w:bookmarkStart w:id="567" w:name="_Toc534803015"/>
      <w:bookmarkStart w:id="568" w:name="_Toc501614332"/>
      <w:r>
        <w:rPr>
          <w:rFonts w:ascii="Times New Roman" w:hAnsi="Times New Roman" w:cs="Times New Roman"/>
          <w:sz w:val="24"/>
          <w:szCs w:val="24"/>
        </w:rPr>
        <w:t>7.4</w:t>
      </w:r>
      <w:r>
        <w:rPr>
          <w:rFonts w:ascii="Times New Roman" w:hAnsi="Times New Roman" w:cs="Times New Roman"/>
          <w:sz w:val="24"/>
          <w:szCs w:val="24"/>
        </w:rPr>
        <w:tab/>
      </w:r>
      <w:r>
        <w:rPr>
          <w:rFonts w:ascii="Times New Roman" w:hAnsi="Times New Roman" w:cs="Times New Roman"/>
          <w:sz w:val="24"/>
          <w:szCs w:val="24"/>
        </w:rPr>
        <w:t>Impact Categories</w:t>
      </w:r>
      <w:bookmarkEnd w:id="566"/>
      <w:bookmarkEnd w:id="567"/>
      <w:bookmarkEnd w:id="568"/>
    </w:p>
    <w:p w14:paraId="07D88CD1">
      <w:pPr>
        <w:spacing w:line="240" w:lineRule="auto"/>
        <w:rPr>
          <w:rFonts w:ascii="Times New Roman" w:hAnsi="Times New Roman"/>
          <w:szCs w:val="24"/>
        </w:rPr>
      </w:pPr>
      <w:r>
        <w:rPr>
          <w:rFonts w:ascii="Times New Roman" w:hAnsi="Times New Roman"/>
          <w:szCs w:val="24"/>
        </w:rPr>
        <w:t>Likely potential areas of concerns have been determined and ranked according to the following:</w:t>
      </w:r>
    </w:p>
    <w:p w14:paraId="199EE680">
      <w:pPr>
        <w:spacing w:line="240" w:lineRule="auto"/>
        <w:jc w:val="both"/>
        <w:rPr>
          <w:rFonts w:ascii="Times New Roman" w:hAnsi="Times New Roman"/>
          <w:szCs w:val="24"/>
          <w:u w:val="single"/>
        </w:rPr>
      </w:pPr>
      <w:r>
        <w:rPr>
          <w:rFonts w:ascii="Times New Roman" w:hAnsi="Times New Roman"/>
          <w:szCs w:val="24"/>
          <w:u w:val="single"/>
        </w:rPr>
        <w:t>Impact</w:t>
      </w:r>
    </w:p>
    <w:p w14:paraId="7FFD754B">
      <w:pPr>
        <w:numPr>
          <w:ilvl w:val="0"/>
          <w:numId w:val="42"/>
        </w:numPr>
        <w:spacing w:after="0" w:line="240" w:lineRule="auto"/>
        <w:jc w:val="both"/>
        <w:rPr>
          <w:rFonts w:ascii="Times New Roman" w:hAnsi="Times New Roman"/>
          <w:szCs w:val="24"/>
          <w:lang w:val="en-US"/>
        </w:rPr>
      </w:pPr>
      <w:r>
        <w:rPr>
          <w:rFonts w:ascii="Times New Roman" w:hAnsi="Times New Roman"/>
          <w:szCs w:val="24"/>
          <w:lang w:val="en-US"/>
        </w:rPr>
        <w:t>Potential environmental impacts which are deemed to be highly significant and need thorough investigation in the ESIA</w:t>
      </w:r>
    </w:p>
    <w:p w14:paraId="3989B250">
      <w:pPr>
        <w:numPr>
          <w:ilvl w:val="0"/>
          <w:numId w:val="42"/>
        </w:numPr>
        <w:spacing w:after="0" w:line="240" w:lineRule="auto"/>
        <w:jc w:val="both"/>
        <w:rPr>
          <w:rFonts w:ascii="Times New Roman" w:hAnsi="Times New Roman"/>
          <w:szCs w:val="24"/>
          <w:lang w:val="en-US"/>
        </w:rPr>
      </w:pPr>
      <w:r>
        <w:rPr>
          <w:rFonts w:ascii="Times New Roman" w:hAnsi="Times New Roman"/>
          <w:szCs w:val="24"/>
          <w:lang w:val="en-US"/>
        </w:rPr>
        <w:t>Potential environmental impacts that are deemed to be moderately significant, and will require reasonable investigation in the ESIA</w:t>
      </w:r>
    </w:p>
    <w:p w14:paraId="728A6879">
      <w:pPr>
        <w:numPr>
          <w:ilvl w:val="0"/>
          <w:numId w:val="42"/>
        </w:numPr>
        <w:spacing w:after="0" w:line="240" w:lineRule="auto"/>
        <w:jc w:val="both"/>
        <w:rPr>
          <w:rFonts w:ascii="Times New Roman" w:hAnsi="Times New Roman"/>
          <w:szCs w:val="24"/>
          <w:lang w:val="en-US"/>
        </w:rPr>
      </w:pPr>
      <w:r>
        <w:rPr>
          <w:rFonts w:ascii="Times New Roman" w:hAnsi="Times New Roman"/>
          <w:szCs w:val="24"/>
          <w:lang w:val="en-US"/>
        </w:rPr>
        <w:t>Potential environmental impacts that are deemed low/unlikely to be significant, and need to be listed, and addressed in some way, but which will not require detailed assessment in the ESIA.</w:t>
      </w:r>
    </w:p>
    <w:p w14:paraId="42D6D9C0">
      <w:pPr>
        <w:spacing w:after="0" w:line="240" w:lineRule="auto"/>
        <w:rPr>
          <w:rFonts w:ascii="Times New Roman" w:hAnsi="Times New Roman"/>
          <w:szCs w:val="24"/>
          <w:u w:val="single"/>
        </w:rPr>
      </w:pPr>
      <w:r>
        <w:rPr>
          <w:rFonts w:ascii="Times New Roman" w:hAnsi="Times New Roman"/>
          <w:szCs w:val="24"/>
          <w:u w:val="single"/>
        </w:rPr>
        <w:t>Nature:</w:t>
      </w:r>
    </w:p>
    <w:p w14:paraId="476C74E3">
      <w:pPr>
        <w:numPr>
          <w:ilvl w:val="0"/>
          <w:numId w:val="43"/>
        </w:numPr>
        <w:spacing w:after="0" w:line="240" w:lineRule="auto"/>
        <w:jc w:val="both"/>
        <w:rPr>
          <w:rFonts w:ascii="Times New Roman" w:hAnsi="Times New Roman"/>
          <w:szCs w:val="24"/>
        </w:rPr>
      </w:pPr>
      <w:r>
        <w:rPr>
          <w:rFonts w:ascii="Times New Roman" w:hAnsi="Times New Roman"/>
          <w:szCs w:val="24"/>
        </w:rPr>
        <w:t>Positive: applies to impacts that have a beneficial economic, environmental or social result, such as additional economic activity or enhancement of the existing environmental conditions.</w:t>
      </w:r>
    </w:p>
    <w:p w14:paraId="26CD1603">
      <w:pPr>
        <w:numPr>
          <w:ilvl w:val="0"/>
          <w:numId w:val="43"/>
        </w:numPr>
        <w:spacing w:after="0" w:line="240" w:lineRule="auto"/>
        <w:jc w:val="both"/>
        <w:rPr>
          <w:rFonts w:ascii="Times New Roman" w:hAnsi="Times New Roman"/>
          <w:szCs w:val="24"/>
        </w:rPr>
      </w:pPr>
      <w:r>
        <w:rPr>
          <w:rFonts w:ascii="Times New Roman" w:hAnsi="Times New Roman"/>
          <w:szCs w:val="24"/>
        </w:rPr>
        <w:t>Negative: applies to impacts that have a harmful or economical aspect associated with them such as economical cost, loss or degradation of environmental resources.</w:t>
      </w:r>
    </w:p>
    <w:p w14:paraId="24D239FF">
      <w:pPr>
        <w:spacing w:after="0" w:line="240" w:lineRule="auto"/>
        <w:rPr>
          <w:rFonts w:ascii="Times New Roman" w:hAnsi="Times New Roman"/>
          <w:szCs w:val="24"/>
          <w:u w:val="single"/>
        </w:rPr>
      </w:pPr>
      <w:r>
        <w:rPr>
          <w:rFonts w:ascii="Times New Roman" w:hAnsi="Times New Roman"/>
          <w:szCs w:val="24"/>
          <w:u w:val="single"/>
        </w:rPr>
        <w:t>Effect:</w:t>
      </w:r>
    </w:p>
    <w:p w14:paraId="3007BB5D">
      <w:pPr>
        <w:numPr>
          <w:ilvl w:val="0"/>
          <w:numId w:val="44"/>
        </w:numPr>
        <w:spacing w:after="0" w:line="240" w:lineRule="auto"/>
        <w:rPr>
          <w:rFonts w:ascii="Times New Roman" w:hAnsi="Times New Roman"/>
          <w:szCs w:val="24"/>
        </w:rPr>
      </w:pPr>
      <w:r>
        <w:rPr>
          <w:rFonts w:ascii="Times New Roman" w:hAnsi="Times New Roman"/>
          <w:szCs w:val="24"/>
        </w:rPr>
        <w:t>Direct: applies to impacts which can be clearly and directly attributed to a particular impacting activity.</w:t>
      </w:r>
    </w:p>
    <w:p w14:paraId="33AB9C74">
      <w:pPr>
        <w:numPr>
          <w:ilvl w:val="0"/>
          <w:numId w:val="44"/>
        </w:numPr>
        <w:spacing w:after="0" w:line="240" w:lineRule="auto"/>
        <w:rPr>
          <w:rFonts w:ascii="Times New Roman" w:hAnsi="Times New Roman"/>
          <w:szCs w:val="24"/>
        </w:rPr>
      </w:pPr>
      <w:r>
        <w:rPr>
          <w:rFonts w:ascii="Times New Roman" w:hAnsi="Times New Roman"/>
          <w:szCs w:val="24"/>
        </w:rPr>
        <w:t>Indirect: applies to impacts which may be associated with or after a particular impacting activity, but which cannot be directly attributed to it.</w:t>
      </w:r>
    </w:p>
    <w:p w14:paraId="599DD46C">
      <w:pPr>
        <w:spacing w:after="0" w:line="240" w:lineRule="auto"/>
        <w:rPr>
          <w:rFonts w:ascii="Times New Roman" w:hAnsi="Times New Roman"/>
          <w:szCs w:val="24"/>
          <w:u w:val="single"/>
        </w:rPr>
      </w:pPr>
      <w:r>
        <w:rPr>
          <w:rFonts w:ascii="Times New Roman" w:hAnsi="Times New Roman"/>
          <w:szCs w:val="24"/>
          <w:u w:val="single"/>
        </w:rPr>
        <w:t>Time Range:</w:t>
      </w:r>
    </w:p>
    <w:p w14:paraId="16EB1B9D">
      <w:pPr>
        <w:numPr>
          <w:ilvl w:val="0"/>
          <w:numId w:val="45"/>
        </w:numPr>
        <w:spacing w:after="0" w:line="240" w:lineRule="auto"/>
        <w:jc w:val="both"/>
        <w:rPr>
          <w:rFonts w:ascii="Times New Roman" w:hAnsi="Times New Roman"/>
          <w:szCs w:val="24"/>
        </w:rPr>
      </w:pPr>
      <w:r>
        <w:rPr>
          <w:rFonts w:ascii="Times New Roman" w:hAnsi="Times New Roman"/>
          <w:szCs w:val="24"/>
        </w:rPr>
        <w:t>Short Term: applies to impacts whose effects on the environment will disappear within a 1-year period, or within the construction phase.</w:t>
      </w:r>
    </w:p>
    <w:p w14:paraId="548F0A7C">
      <w:pPr>
        <w:numPr>
          <w:ilvl w:val="0"/>
          <w:numId w:val="45"/>
        </w:numPr>
        <w:spacing w:after="0" w:line="240" w:lineRule="auto"/>
        <w:jc w:val="both"/>
        <w:rPr>
          <w:rFonts w:ascii="Times New Roman" w:hAnsi="Times New Roman"/>
          <w:szCs w:val="24"/>
        </w:rPr>
      </w:pPr>
      <w:r>
        <w:rPr>
          <w:rFonts w:ascii="Times New Roman" w:hAnsi="Times New Roman"/>
          <w:szCs w:val="24"/>
        </w:rPr>
        <w:t>Medium Term: applies to impacts whose effects on the environment will disappear within a 5-year period following the construction phase.</w:t>
      </w:r>
    </w:p>
    <w:p w14:paraId="0E921695">
      <w:pPr>
        <w:numPr>
          <w:ilvl w:val="0"/>
          <w:numId w:val="45"/>
        </w:numPr>
        <w:spacing w:after="0" w:line="240" w:lineRule="auto"/>
        <w:jc w:val="both"/>
        <w:rPr>
          <w:rFonts w:ascii="Times New Roman" w:hAnsi="Times New Roman"/>
          <w:szCs w:val="24"/>
        </w:rPr>
      </w:pPr>
      <w:r>
        <w:rPr>
          <w:rFonts w:ascii="Times New Roman" w:hAnsi="Times New Roman"/>
          <w:szCs w:val="24"/>
        </w:rPr>
        <w:t>Long Term: applies to impacts whose effects on the environment will disappear in a period greater than 5 years following the construction phase.</w:t>
      </w:r>
    </w:p>
    <w:p w14:paraId="15791C50">
      <w:pPr>
        <w:spacing w:after="0" w:line="240" w:lineRule="auto"/>
        <w:rPr>
          <w:rFonts w:ascii="Times New Roman" w:hAnsi="Times New Roman"/>
          <w:szCs w:val="24"/>
          <w:u w:val="single"/>
        </w:rPr>
      </w:pPr>
      <w:r>
        <w:rPr>
          <w:rFonts w:ascii="Times New Roman" w:hAnsi="Times New Roman"/>
          <w:szCs w:val="24"/>
          <w:u w:val="single"/>
        </w:rPr>
        <w:t>Reversibility:</w:t>
      </w:r>
    </w:p>
    <w:p w14:paraId="623FD5CB">
      <w:pPr>
        <w:numPr>
          <w:ilvl w:val="0"/>
          <w:numId w:val="46"/>
        </w:numPr>
        <w:spacing w:after="0" w:line="240" w:lineRule="auto"/>
        <w:jc w:val="both"/>
        <w:rPr>
          <w:rFonts w:ascii="Times New Roman" w:hAnsi="Times New Roman"/>
          <w:szCs w:val="24"/>
        </w:rPr>
      </w:pPr>
      <w:r>
        <w:rPr>
          <w:rFonts w:ascii="Times New Roman" w:hAnsi="Times New Roman"/>
          <w:szCs w:val="24"/>
        </w:rPr>
        <w:t>Reversible: applies to impacts whose significance will be reduced and disappear over time (either naturally or artificially), once the impacting activity ceases.</w:t>
      </w:r>
    </w:p>
    <w:p w14:paraId="45F9B772">
      <w:pPr>
        <w:numPr>
          <w:ilvl w:val="0"/>
          <w:numId w:val="46"/>
        </w:numPr>
        <w:spacing w:after="0" w:line="240" w:lineRule="auto"/>
        <w:jc w:val="both"/>
        <w:rPr>
          <w:rFonts w:ascii="Times New Roman" w:hAnsi="Times New Roman"/>
          <w:szCs w:val="24"/>
        </w:rPr>
      </w:pPr>
      <w:r>
        <w:rPr>
          <w:rFonts w:ascii="Times New Roman" w:hAnsi="Times New Roman"/>
          <w:szCs w:val="24"/>
        </w:rPr>
        <w:t>Irreversible: applies to impacts whose significance will not be reduced nor disappear over time (either naturally or artificially), once the impacting activity ceases.</w:t>
      </w:r>
    </w:p>
    <w:p w14:paraId="17FF5D12">
      <w:pPr>
        <w:spacing w:after="0" w:line="240" w:lineRule="auto"/>
        <w:rPr>
          <w:rFonts w:ascii="Times New Roman" w:hAnsi="Times New Roman"/>
          <w:szCs w:val="24"/>
        </w:rPr>
      </w:pPr>
    </w:p>
    <w:p w14:paraId="3AA2280C">
      <w:pPr>
        <w:spacing w:after="0" w:line="240" w:lineRule="auto"/>
        <w:rPr>
          <w:rFonts w:ascii="Times New Roman" w:hAnsi="Times New Roman"/>
          <w:szCs w:val="24"/>
        </w:rPr>
      </w:pPr>
      <w:r>
        <w:rPr>
          <w:rFonts w:ascii="Times New Roman" w:hAnsi="Times New Roman"/>
          <w:szCs w:val="24"/>
        </w:rPr>
        <w:t>A characterisation of expected impacts is shown in the table below.</w:t>
      </w:r>
    </w:p>
    <w:p w14:paraId="79E72A26">
      <w:pPr>
        <w:spacing w:line="240" w:lineRule="auto"/>
        <w:rPr>
          <w:rFonts w:ascii="Times New Roman" w:hAnsi="Times New Roman"/>
          <w:szCs w:val="24"/>
        </w:rPr>
      </w:pPr>
    </w:p>
    <w:p w14:paraId="3448F32F">
      <w:pPr>
        <w:spacing w:line="240" w:lineRule="auto"/>
        <w:rPr>
          <w:rFonts w:ascii="Times New Roman" w:hAnsi="Times New Roman"/>
          <w:szCs w:val="24"/>
        </w:rPr>
        <w:sectPr>
          <w:pgSz w:w="11906" w:h="16838"/>
          <w:pgMar w:top="1440" w:right="1530" w:bottom="1440" w:left="1440" w:header="720" w:footer="720" w:gutter="0"/>
          <w:cols w:space="720" w:num="1"/>
          <w:docGrid w:linePitch="360" w:charSpace="0"/>
        </w:sectPr>
      </w:pPr>
    </w:p>
    <w:p w14:paraId="6DA623D2">
      <w:pPr>
        <w:pStyle w:val="10"/>
        <w:rPr>
          <w:rFonts w:ascii="Times New Roman" w:hAnsi="Times New Roman"/>
          <w:b/>
          <w:bCs/>
          <w:color w:val="auto"/>
        </w:rPr>
      </w:pPr>
      <w:bookmarkStart w:id="569" w:name="_Toc224740301"/>
      <w:r>
        <w:rPr>
          <w:rFonts w:ascii="Times New Roman" w:hAnsi="Times New Roman"/>
          <w:b/>
          <w:bCs/>
          <w:color w:val="auto"/>
        </w:rPr>
        <w:t xml:space="preserve">Table </w:t>
      </w:r>
      <w:r>
        <w:rPr>
          <w:rFonts w:ascii="Times New Roman" w:hAnsi="Times New Roman"/>
          <w:b/>
          <w:bCs/>
          <w:color w:val="auto"/>
        </w:rPr>
        <w:fldChar w:fldCharType="begin"/>
      </w:r>
      <w:r>
        <w:rPr>
          <w:rFonts w:ascii="Times New Roman" w:hAnsi="Times New Roman"/>
          <w:b/>
          <w:bCs/>
          <w:color w:val="auto"/>
        </w:rPr>
        <w:instrText xml:space="preserve"> SEQ Table \* ARABIC </w:instrText>
      </w:r>
      <w:r>
        <w:rPr>
          <w:rFonts w:ascii="Times New Roman" w:hAnsi="Times New Roman"/>
          <w:b/>
          <w:bCs/>
          <w:color w:val="auto"/>
        </w:rPr>
        <w:fldChar w:fldCharType="separate"/>
      </w:r>
      <w:r>
        <w:rPr>
          <w:rFonts w:ascii="Times New Roman" w:hAnsi="Times New Roman"/>
          <w:b/>
          <w:bCs/>
          <w:color w:val="auto"/>
        </w:rPr>
        <w:t>6</w:t>
      </w:r>
      <w:r>
        <w:rPr>
          <w:rFonts w:ascii="Times New Roman" w:hAnsi="Times New Roman"/>
          <w:b/>
          <w:bCs/>
          <w:color w:val="auto"/>
        </w:rPr>
        <w:fldChar w:fldCharType="end"/>
      </w:r>
      <w:bookmarkStart w:id="570" w:name="_Toc28403"/>
      <w:r>
        <w:rPr>
          <w:rFonts w:ascii="Times New Roman" w:hAnsi="Times New Roman"/>
          <w:b/>
          <w:bCs/>
          <w:color w:val="auto"/>
        </w:rPr>
        <w:t>:  Characterization Of Negative Impacts (Construction Phase)</w:t>
      </w:r>
      <w:bookmarkEnd w:id="569"/>
      <w:bookmarkEnd w:id="570"/>
    </w:p>
    <w:tbl>
      <w:tblPr>
        <w:tblStyle w:val="7"/>
        <w:tblW w:w="15405" w:type="dxa"/>
        <w:tblInd w:w="-8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2475"/>
        <w:gridCol w:w="760"/>
        <w:gridCol w:w="905"/>
        <w:gridCol w:w="900"/>
        <w:gridCol w:w="1170"/>
        <w:gridCol w:w="1170"/>
        <w:gridCol w:w="900"/>
        <w:gridCol w:w="990"/>
        <w:gridCol w:w="900"/>
        <w:gridCol w:w="1080"/>
        <w:gridCol w:w="820"/>
        <w:gridCol w:w="900"/>
        <w:gridCol w:w="900"/>
      </w:tblGrid>
      <w:tr w14:paraId="26F8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blHeader/>
        </w:trPr>
        <w:tc>
          <w:tcPr>
            <w:tcW w:w="1535" w:type="dxa"/>
            <w:vMerge w:val="restart"/>
            <w:vAlign w:val="center"/>
          </w:tcPr>
          <w:p w14:paraId="19B90FA6">
            <w:pPr>
              <w:spacing w:after="0" w:line="240" w:lineRule="auto"/>
              <w:rPr>
                <w:rFonts w:ascii="Times New Roman" w:hAnsi="Times New Roman"/>
                <w:b/>
                <w:szCs w:val="24"/>
              </w:rPr>
            </w:pPr>
            <w:r>
              <w:rPr>
                <w:rFonts w:ascii="Times New Roman" w:hAnsi="Times New Roman"/>
                <w:b/>
                <w:szCs w:val="24"/>
              </w:rPr>
              <w:t>Aspect</w:t>
            </w:r>
          </w:p>
        </w:tc>
        <w:tc>
          <w:tcPr>
            <w:tcW w:w="2475" w:type="dxa"/>
            <w:vMerge w:val="restart"/>
            <w:vAlign w:val="center"/>
          </w:tcPr>
          <w:p w14:paraId="6B9A1D8E">
            <w:pPr>
              <w:spacing w:after="0" w:line="240" w:lineRule="auto"/>
              <w:rPr>
                <w:rFonts w:ascii="Times New Roman" w:hAnsi="Times New Roman"/>
                <w:b/>
                <w:szCs w:val="24"/>
              </w:rPr>
            </w:pPr>
            <w:r>
              <w:rPr>
                <w:rFonts w:ascii="Times New Roman" w:hAnsi="Times New Roman"/>
                <w:b/>
                <w:szCs w:val="24"/>
              </w:rPr>
              <w:t xml:space="preserve">Predicted Impact </w:t>
            </w:r>
          </w:p>
          <w:p w14:paraId="126CD104">
            <w:pPr>
              <w:spacing w:after="0" w:line="240" w:lineRule="auto"/>
              <w:rPr>
                <w:rFonts w:ascii="Times New Roman" w:hAnsi="Times New Roman"/>
                <w:b/>
                <w:szCs w:val="24"/>
              </w:rPr>
            </w:pPr>
            <w:r>
              <w:rPr>
                <w:rFonts w:ascii="Times New Roman" w:hAnsi="Times New Roman"/>
                <w:b/>
                <w:szCs w:val="24"/>
              </w:rPr>
              <w:t>(Construction Phase)</w:t>
            </w:r>
          </w:p>
        </w:tc>
        <w:tc>
          <w:tcPr>
            <w:tcW w:w="11395" w:type="dxa"/>
            <w:gridSpan w:val="12"/>
            <w:vAlign w:val="center"/>
          </w:tcPr>
          <w:p w14:paraId="739B46D0">
            <w:pPr>
              <w:spacing w:after="0" w:line="240" w:lineRule="auto"/>
              <w:rPr>
                <w:rFonts w:ascii="Times New Roman" w:hAnsi="Times New Roman"/>
                <w:b/>
                <w:szCs w:val="24"/>
              </w:rPr>
            </w:pPr>
            <w:r>
              <w:rPr>
                <w:rFonts w:ascii="Times New Roman" w:hAnsi="Times New Roman"/>
                <w:b/>
                <w:szCs w:val="24"/>
              </w:rPr>
              <w:t>Characterization of Impacts</w:t>
            </w:r>
          </w:p>
        </w:tc>
      </w:tr>
      <w:tr w14:paraId="6D76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trPr>
        <w:tc>
          <w:tcPr>
            <w:tcW w:w="1535" w:type="dxa"/>
            <w:vMerge w:val="continue"/>
            <w:vAlign w:val="center"/>
          </w:tcPr>
          <w:p w14:paraId="2A5AE416">
            <w:pPr>
              <w:spacing w:after="0" w:line="240" w:lineRule="auto"/>
              <w:rPr>
                <w:rFonts w:ascii="Times New Roman" w:hAnsi="Times New Roman"/>
                <w:b/>
                <w:szCs w:val="24"/>
              </w:rPr>
            </w:pPr>
          </w:p>
        </w:tc>
        <w:tc>
          <w:tcPr>
            <w:tcW w:w="2475" w:type="dxa"/>
            <w:vMerge w:val="continue"/>
            <w:vAlign w:val="center"/>
          </w:tcPr>
          <w:p w14:paraId="7BECEFDD">
            <w:pPr>
              <w:spacing w:after="0" w:line="240" w:lineRule="auto"/>
              <w:rPr>
                <w:rFonts w:ascii="Times New Roman" w:hAnsi="Times New Roman"/>
                <w:b/>
                <w:szCs w:val="24"/>
              </w:rPr>
            </w:pPr>
          </w:p>
        </w:tc>
        <w:tc>
          <w:tcPr>
            <w:tcW w:w="2565" w:type="dxa"/>
            <w:gridSpan w:val="3"/>
            <w:vAlign w:val="center"/>
          </w:tcPr>
          <w:p w14:paraId="4BBAE340">
            <w:pPr>
              <w:spacing w:after="0" w:line="240" w:lineRule="auto"/>
              <w:rPr>
                <w:rFonts w:ascii="Times New Roman" w:hAnsi="Times New Roman"/>
                <w:b/>
                <w:szCs w:val="24"/>
              </w:rPr>
            </w:pPr>
            <w:r>
              <w:rPr>
                <w:rFonts w:ascii="Times New Roman" w:hAnsi="Times New Roman"/>
                <w:b/>
                <w:szCs w:val="24"/>
              </w:rPr>
              <w:t>Impact</w:t>
            </w:r>
          </w:p>
        </w:tc>
        <w:tc>
          <w:tcPr>
            <w:tcW w:w="2340" w:type="dxa"/>
            <w:gridSpan w:val="2"/>
            <w:vAlign w:val="center"/>
          </w:tcPr>
          <w:p w14:paraId="5BACF2BA">
            <w:pPr>
              <w:spacing w:after="0" w:line="240" w:lineRule="auto"/>
              <w:rPr>
                <w:rFonts w:ascii="Times New Roman" w:hAnsi="Times New Roman"/>
                <w:b/>
                <w:szCs w:val="24"/>
              </w:rPr>
            </w:pPr>
            <w:r>
              <w:rPr>
                <w:rFonts w:ascii="Times New Roman" w:hAnsi="Times New Roman"/>
                <w:b/>
                <w:szCs w:val="24"/>
              </w:rPr>
              <w:t>Nature</w:t>
            </w:r>
          </w:p>
        </w:tc>
        <w:tc>
          <w:tcPr>
            <w:tcW w:w="1890" w:type="dxa"/>
            <w:gridSpan w:val="2"/>
            <w:vAlign w:val="center"/>
          </w:tcPr>
          <w:p w14:paraId="14E8B9AA">
            <w:pPr>
              <w:spacing w:after="0" w:line="240" w:lineRule="auto"/>
              <w:rPr>
                <w:rFonts w:ascii="Times New Roman" w:hAnsi="Times New Roman"/>
                <w:b/>
                <w:szCs w:val="24"/>
              </w:rPr>
            </w:pPr>
            <w:r>
              <w:rPr>
                <w:rFonts w:ascii="Times New Roman" w:hAnsi="Times New Roman"/>
                <w:b/>
                <w:szCs w:val="24"/>
              </w:rPr>
              <w:t>Effect</w:t>
            </w:r>
          </w:p>
        </w:tc>
        <w:tc>
          <w:tcPr>
            <w:tcW w:w="2800" w:type="dxa"/>
            <w:gridSpan w:val="3"/>
            <w:vAlign w:val="center"/>
          </w:tcPr>
          <w:p w14:paraId="3F277E68">
            <w:pPr>
              <w:spacing w:after="0" w:line="240" w:lineRule="auto"/>
              <w:rPr>
                <w:rFonts w:ascii="Times New Roman" w:hAnsi="Times New Roman"/>
                <w:b/>
                <w:szCs w:val="24"/>
              </w:rPr>
            </w:pPr>
            <w:r>
              <w:rPr>
                <w:rFonts w:ascii="Times New Roman" w:hAnsi="Times New Roman"/>
                <w:b/>
                <w:szCs w:val="24"/>
              </w:rPr>
              <w:t>Time Range</w:t>
            </w:r>
          </w:p>
        </w:tc>
        <w:tc>
          <w:tcPr>
            <w:tcW w:w="1800" w:type="dxa"/>
            <w:gridSpan w:val="2"/>
            <w:vAlign w:val="center"/>
          </w:tcPr>
          <w:p w14:paraId="692938D7">
            <w:pPr>
              <w:spacing w:after="0" w:line="240" w:lineRule="auto"/>
              <w:rPr>
                <w:rFonts w:ascii="Times New Roman" w:hAnsi="Times New Roman"/>
                <w:b/>
                <w:szCs w:val="24"/>
              </w:rPr>
            </w:pPr>
            <w:r>
              <w:rPr>
                <w:rFonts w:ascii="Times New Roman" w:hAnsi="Times New Roman"/>
                <w:b/>
                <w:szCs w:val="24"/>
              </w:rPr>
              <w:t>Reversibility</w:t>
            </w:r>
          </w:p>
        </w:tc>
      </w:tr>
      <w:tr w14:paraId="2B23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535" w:type="dxa"/>
            <w:vMerge w:val="continue"/>
            <w:vAlign w:val="center"/>
          </w:tcPr>
          <w:p w14:paraId="763AD302">
            <w:pPr>
              <w:spacing w:after="0" w:line="240" w:lineRule="auto"/>
              <w:rPr>
                <w:rFonts w:ascii="Times New Roman" w:hAnsi="Times New Roman"/>
                <w:b/>
                <w:szCs w:val="24"/>
              </w:rPr>
            </w:pPr>
          </w:p>
        </w:tc>
        <w:tc>
          <w:tcPr>
            <w:tcW w:w="2475" w:type="dxa"/>
            <w:vMerge w:val="continue"/>
            <w:vAlign w:val="center"/>
          </w:tcPr>
          <w:p w14:paraId="49BDF86D">
            <w:pPr>
              <w:spacing w:after="0" w:line="240" w:lineRule="auto"/>
              <w:rPr>
                <w:rFonts w:ascii="Times New Roman" w:hAnsi="Times New Roman"/>
                <w:b/>
                <w:szCs w:val="24"/>
              </w:rPr>
            </w:pPr>
          </w:p>
        </w:tc>
        <w:tc>
          <w:tcPr>
            <w:tcW w:w="760" w:type="dxa"/>
            <w:vAlign w:val="center"/>
          </w:tcPr>
          <w:p w14:paraId="17F03B73">
            <w:pPr>
              <w:spacing w:after="0" w:line="240" w:lineRule="auto"/>
              <w:rPr>
                <w:rFonts w:ascii="Times New Roman" w:hAnsi="Times New Roman"/>
                <w:b/>
                <w:szCs w:val="24"/>
              </w:rPr>
            </w:pPr>
            <w:r>
              <w:rPr>
                <w:rFonts w:ascii="Times New Roman" w:hAnsi="Times New Roman"/>
                <w:b/>
                <w:szCs w:val="24"/>
              </w:rPr>
              <w:t>High</w:t>
            </w:r>
          </w:p>
        </w:tc>
        <w:tc>
          <w:tcPr>
            <w:tcW w:w="905" w:type="dxa"/>
            <w:vAlign w:val="center"/>
          </w:tcPr>
          <w:p w14:paraId="76257A0C">
            <w:pPr>
              <w:spacing w:after="0" w:line="240" w:lineRule="auto"/>
              <w:rPr>
                <w:rFonts w:ascii="Times New Roman" w:hAnsi="Times New Roman"/>
                <w:b/>
                <w:szCs w:val="24"/>
              </w:rPr>
            </w:pPr>
            <w:r>
              <w:rPr>
                <w:rFonts w:ascii="Times New Roman" w:hAnsi="Times New Roman"/>
                <w:b/>
                <w:szCs w:val="24"/>
              </w:rPr>
              <w:t>Medium</w:t>
            </w:r>
          </w:p>
        </w:tc>
        <w:tc>
          <w:tcPr>
            <w:tcW w:w="900" w:type="dxa"/>
            <w:vAlign w:val="center"/>
          </w:tcPr>
          <w:p w14:paraId="16C8254F">
            <w:pPr>
              <w:spacing w:after="0" w:line="240" w:lineRule="auto"/>
              <w:rPr>
                <w:rFonts w:ascii="Times New Roman" w:hAnsi="Times New Roman"/>
                <w:b/>
                <w:szCs w:val="24"/>
              </w:rPr>
            </w:pPr>
            <w:r>
              <w:rPr>
                <w:rFonts w:ascii="Times New Roman" w:hAnsi="Times New Roman"/>
                <w:b/>
                <w:szCs w:val="24"/>
              </w:rPr>
              <w:t>Low</w:t>
            </w:r>
          </w:p>
        </w:tc>
        <w:tc>
          <w:tcPr>
            <w:tcW w:w="1170" w:type="dxa"/>
            <w:vAlign w:val="center"/>
          </w:tcPr>
          <w:p w14:paraId="174C006C">
            <w:pPr>
              <w:spacing w:after="0" w:line="240" w:lineRule="auto"/>
              <w:rPr>
                <w:rFonts w:ascii="Times New Roman" w:hAnsi="Times New Roman"/>
                <w:b/>
                <w:szCs w:val="24"/>
              </w:rPr>
            </w:pPr>
            <w:r>
              <w:rPr>
                <w:rFonts w:ascii="Times New Roman" w:hAnsi="Times New Roman"/>
                <w:b/>
                <w:szCs w:val="24"/>
              </w:rPr>
              <w:t>Positive</w:t>
            </w:r>
          </w:p>
        </w:tc>
        <w:tc>
          <w:tcPr>
            <w:tcW w:w="1170" w:type="dxa"/>
            <w:vAlign w:val="center"/>
          </w:tcPr>
          <w:p w14:paraId="59B8F5F7">
            <w:pPr>
              <w:spacing w:after="0" w:line="240" w:lineRule="auto"/>
              <w:rPr>
                <w:rFonts w:ascii="Times New Roman" w:hAnsi="Times New Roman"/>
                <w:b/>
                <w:szCs w:val="24"/>
              </w:rPr>
            </w:pPr>
            <w:r>
              <w:rPr>
                <w:rFonts w:ascii="Times New Roman" w:hAnsi="Times New Roman"/>
                <w:b/>
                <w:szCs w:val="24"/>
              </w:rPr>
              <w:t>Negative</w:t>
            </w:r>
          </w:p>
        </w:tc>
        <w:tc>
          <w:tcPr>
            <w:tcW w:w="900" w:type="dxa"/>
            <w:vAlign w:val="center"/>
          </w:tcPr>
          <w:p w14:paraId="27C0F08E">
            <w:pPr>
              <w:spacing w:after="0" w:line="240" w:lineRule="auto"/>
              <w:rPr>
                <w:rFonts w:ascii="Times New Roman" w:hAnsi="Times New Roman"/>
                <w:b/>
                <w:szCs w:val="24"/>
              </w:rPr>
            </w:pPr>
            <w:r>
              <w:rPr>
                <w:rFonts w:ascii="Times New Roman" w:hAnsi="Times New Roman"/>
                <w:b/>
                <w:szCs w:val="24"/>
              </w:rPr>
              <w:t>Direct</w:t>
            </w:r>
          </w:p>
        </w:tc>
        <w:tc>
          <w:tcPr>
            <w:tcW w:w="990" w:type="dxa"/>
            <w:vAlign w:val="center"/>
          </w:tcPr>
          <w:p w14:paraId="2FD939AD">
            <w:pPr>
              <w:spacing w:after="0" w:line="240" w:lineRule="auto"/>
              <w:rPr>
                <w:rFonts w:ascii="Times New Roman" w:hAnsi="Times New Roman"/>
                <w:b/>
                <w:szCs w:val="24"/>
              </w:rPr>
            </w:pPr>
            <w:r>
              <w:rPr>
                <w:rFonts w:ascii="Times New Roman" w:hAnsi="Times New Roman"/>
                <w:b/>
                <w:szCs w:val="24"/>
              </w:rPr>
              <w:t>Indirect</w:t>
            </w:r>
          </w:p>
        </w:tc>
        <w:tc>
          <w:tcPr>
            <w:tcW w:w="900" w:type="dxa"/>
            <w:vAlign w:val="center"/>
          </w:tcPr>
          <w:p w14:paraId="3B865D44">
            <w:pPr>
              <w:spacing w:after="0" w:line="240" w:lineRule="auto"/>
              <w:rPr>
                <w:rFonts w:ascii="Times New Roman" w:hAnsi="Times New Roman"/>
                <w:b/>
                <w:szCs w:val="24"/>
              </w:rPr>
            </w:pPr>
            <w:r>
              <w:rPr>
                <w:rFonts w:ascii="Times New Roman" w:hAnsi="Times New Roman"/>
                <w:b/>
                <w:szCs w:val="24"/>
              </w:rPr>
              <w:t>Short Term</w:t>
            </w:r>
          </w:p>
        </w:tc>
        <w:tc>
          <w:tcPr>
            <w:tcW w:w="1080" w:type="dxa"/>
            <w:vAlign w:val="center"/>
          </w:tcPr>
          <w:p w14:paraId="2CB4D51E">
            <w:pPr>
              <w:spacing w:after="0" w:line="240" w:lineRule="auto"/>
              <w:rPr>
                <w:rFonts w:ascii="Times New Roman" w:hAnsi="Times New Roman"/>
                <w:b/>
                <w:szCs w:val="24"/>
              </w:rPr>
            </w:pPr>
            <w:r>
              <w:rPr>
                <w:rFonts w:ascii="Times New Roman" w:hAnsi="Times New Roman"/>
                <w:b/>
                <w:szCs w:val="24"/>
              </w:rPr>
              <w:t>Medium Term</w:t>
            </w:r>
          </w:p>
        </w:tc>
        <w:tc>
          <w:tcPr>
            <w:tcW w:w="820" w:type="dxa"/>
            <w:vAlign w:val="center"/>
          </w:tcPr>
          <w:p w14:paraId="3060AA74">
            <w:pPr>
              <w:spacing w:after="0" w:line="240" w:lineRule="auto"/>
              <w:rPr>
                <w:rFonts w:ascii="Times New Roman" w:hAnsi="Times New Roman"/>
                <w:b/>
                <w:szCs w:val="24"/>
              </w:rPr>
            </w:pPr>
            <w:r>
              <w:rPr>
                <w:rFonts w:ascii="Times New Roman" w:hAnsi="Times New Roman"/>
                <w:b/>
                <w:szCs w:val="24"/>
              </w:rPr>
              <w:t>Long Term</w:t>
            </w:r>
          </w:p>
        </w:tc>
        <w:tc>
          <w:tcPr>
            <w:tcW w:w="900" w:type="dxa"/>
            <w:vAlign w:val="center"/>
          </w:tcPr>
          <w:p w14:paraId="0777F3B8">
            <w:pPr>
              <w:spacing w:after="0" w:line="240" w:lineRule="auto"/>
              <w:rPr>
                <w:rFonts w:ascii="Times New Roman" w:hAnsi="Times New Roman"/>
                <w:b/>
                <w:szCs w:val="24"/>
              </w:rPr>
            </w:pPr>
            <w:r>
              <w:rPr>
                <w:rFonts w:ascii="Times New Roman" w:hAnsi="Times New Roman"/>
                <w:b/>
                <w:szCs w:val="24"/>
              </w:rPr>
              <w:t>Reversible</w:t>
            </w:r>
          </w:p>
        </w:tc>
        <w:tc>
          <w:tcPr>
            <w:tcW w:w="900" w:type="dxa"/>
            <w:vAlign w:val="center"/>
          </w:tcPr>
          <w:p w14:paraId="1FCD8993">
            <w:pPr>
              <w:spacing w:after="0" w:line="240" w:lineRule="auto"/>
              <w:rPr>
                <w:rFonts w:ascii="Times New Roman" w:hAnsi="Times New Roman"/>
                <w:b/>
                <w:szCs w:val="24"/>
              </w:rPr>
            </w:pPr>
            <w:r>
              <w:rPr>
                <w:rFonts w:ascii="Times New Roman" w:hAnsi="Times New Roman"/>
                <w:b/>
                <w:szCs w:val="24"/>
              </w:rPr>
              <w:t>Irreversible</w:t>
            </w:r>
          </w:p>
        </w:tc>
      </w:tr>
      <w:tr w14:paraId="49EA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535" w:type="dxa"/>
            <w:vMerge w:val="restart"/>
            <w:vAlign w:val="center"/>
          </w:tcPr>
          <w:p w14:paraId="0FFB5DBA">
            <w:pPr>
              <w:spacing w:after="0" w:line="240" w:lineRule="auto"/>
              <w:rPr>
                <w:rFonts w:ascii="Times New Roman" w:hAnsi="Times New Roman"/>
                <w:szCs w:val="24"/>
              </w:rPr>
            </w:pPr>
            <w:r>
              <w:rPr>
                <w:rFonts w:ascii="Times New Roman" w:hAnsi="Times New Roman"/>
                <w:szCs w:val="24"/>
              </w:rPr>
              <w:t>Ambient Air Quality</w:t>
            </w:r>
          </w:p>
        </w:tc>
        <w:tc>
          <w:tcPr>
            <w:tcW w:w="2475" w:type="dxa"/>
            <w:vAlign w:val="center"/>
          </w:tcPr>
          <w:p w14:paraId="39476410">
            <w:pPr>
              <w:spacing w:after="0" w:line="240" w:lineRule="auto"/>
              <w:rPr>
                <w:rFonts w:ascii="Times New Roman" w:hAnsi="Times New Roman"/>
                <w:szCs w:val="24"/>
              </w:rPr>
            </w:pPr>
            <w:r>
              <w:rPr>
                <w:rFonts w:ascii="Times New Roman" w:hAnsi="Times New Roman"/>
                <w:szCs w:val="24"/>
              </w:rPr>
              <w:t xml:space="preserve">Increased local pollutant emissions and trace constituents </w:t>
            </w:r>
          </w:p>
        </w:tc>
        <w:tc>
          <w:tcPr>
            <w:tcW w:w="760" w:type="dxa"/>
            <w:vAlign w:val="center"/>
          </w:tcPr>
          <w:p w14:paraId="02D69C33">
            <w:pPr>
              <w:spacing w:after="0" w:line="240" w:lineRule="auto"/>
              <w:jc w:val="center"/>
              <w:rPr>
                <w:rFonts w:ascii="Times New Roman" w:hAnsi="Times New Roman"/>
                <w:szCs w:val="24"/>
              </w:rPr>
            </w:pPr>
          </w:p>
        </w:tc>
        <w:tc>
          <w:tcPr>
            <w:tcW w:w="905" w:type="dxa"/>
            <w:vAlign w:val="center"/>
          </w:tcPr>
          <w:p w14:paraId="7E32F098">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0344ED89">
            <w:pPr>
              <w:spacing w:after="0" w:line="240" w:lineRule="auto"/>
              <w:jc w:val="center"/>
              <w:rPr>
                <w:rFonts w:ascii="Times New Roman" w:hAnsi="Times New Roman"/>
                <w:szCs w:val="24"/>
              </w:rPr>
            </w:pPr>
          </w:p>
        </w:tc>
        <w:tc>
          <w:tcPr>
            <w:tcW w:w="1170" w:type="dxa"/>
            <w:vAlign w:val="center"/>
          </w:tcPr>
          <w:p w14:paraId="065963FC">
            <w:pPr>
              <w:spacing w:after="0" w:line="240" w:lineRule="auto"/>
              <w:jc w:val="center"/>
              <w:rPr>
                <w:rFonts w:ascii="Times New Roman" w:hAnsi="Times New Roman"/>
                <w:szCs w:val="24"/>
              </w:rPr>
            </w:pPr>
          </w:p>
        </w:tc>
        <w:tc>
          <w:tcPr>
            <w:tcW w:w="1170" w:type="dxa"/>
            <w:vAlign w:val="center"/>
          </w:tcPr>
          <w:p w14:paraId="2E5D6B67">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50EE295F">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5BB5FFBC">
            <w:pPr>
              <w:spacing w:after="0" w:line="240" w:lineRule="auto"/>
              <w:jc w:val="center"/>
              <w:rPr>
                <w:rFonts w:ascii="Times New Roman" w:hAnsi="Times New Roman"/>
                <w:szCs w:val="24"/>
              </w:rPr>
            </w:pPr>
          </w:p>
        </w:tc>
        <w:tc>
          <w:tcPr>
            <w:tcW w:w="900" w:type="dxa"/>
            <w:vAlign w:val="center"/>
          </w:tcPr>
          <w:p w14:paraId="7020A5C3">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2F841B35">
            <w:pPr>
              <w:spacing w:after="0" w:line="240" w:lineRule="auto"/>
              <w:jc w:val="center"/>
              <w:rPr>
                <w:rFonts w:ascii="Times New Roman" w:hAnsi="Times New Roman"/>
                <w:szCs w:val="24"/>
              </w:rPr>
            </w:pPr>
          </w:p>
        </w:tc>
        <w:tc>
          <w:tcPr>
            <w:tcW w:w="820" w:type="dxa"/>
            <w:vAlign w:val="center"/>
          </w:tcPr>
          <w:p w14:paraId="7A149359">
            <w:pPr>
              <w:spacing w:after="0" w:line="240" w:lineRule="auto"/>
              <w:jc w:val="center"/>
              <w:rPr>
                <w:rFonts w:ascii="Times New Roman" w:hAnsi="Times New Roman"/>
                <w:szCs w:val="24"/>
              </w:rPr>
            </w:pPr>
          </w:p>
        </w:tc>
        <w:tc>
          <w:tcPr>
            <w:tcW w:w="900" w:type="dxa"/>
            <w:vAlign w:val="center"/>
          </w:tcPr>
          <w:p w14:paraId="0265A809">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10EC0790">
            <w:pPr>
              <w:spacing w:after="0" w:line="240" w:lineRule="auto"/>
              <w:jc w:val="center"/>
              <w:rPr>
                <w:rFonts w:ascii="Times New Roman" w:hAnsi="Times New Roman"/>
                <w:szCs w:val="24"/>
              </w:rPr>
            </w:pPr>
          </w:p>
        </w:tc>
      </w:tr>
      <w:tr w14:paraId="173A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535" w:type="dxa"/>
            <w:vMerge w:val="continue"/>
            <w:vAlign w:val="center"/>
          </w:tcPr>
          <w:p w14:paraId="4F9A2416">
            <w:pPr>
              <w:spacing w:after="0" w:line="240" w:lineRule="auto"/>
              <w:rPr>
                <w:rFonts w:ascii="Times New Roman" w:hAnsi="Times New Roman"/>
                <w:szCs w:val="24"/>
              </w:rPr>
            </w:pPr>
          </w:p>
        </w:tc>
        <w:tc>
          <w:tcPr>
            <w:tcW w:w="2475" w:type="dxa"/>
            <w:vAlign w:val="center"/>
          </w:tcPr>
          <w:p w14:paraId="67672FF0">
            <w:pPr>
              <w:spacing w:after="0" w:line="240" w:lineRule="auto"/>
              <w:rPr>
                <w:rFonts w:ascii="Times New Roman" w:hAnsi="Times New Roman"/>
                <w:szCs w:val="24"/>
              </w:rPr>
            </w:pPr>
            <w:r>
              <w:rPr>
                <w:rFonts w:ascii="Times New Roman" w:hAnsi="Times New Roman"/>
                <w:szCs w:val="24"/>
              </w:rPr>
              <w:t xml:space="preserve">Increased levels of dust and particle emissions from construction vehicles and equipment </w:t>
            </w:r>
          </w:p>
        </w:tc>
        <w:tc>
          <w:tcPr>
            <w:tcW w:w="760" w:type="dxa"/>
            <w:vAlign w:val="center"/>
          </w:tcPr>
          <w:p w14:paraId="7CA7031E">
            <w:pPr>
              <w:spacing w:after="0" w:line="240" w:lineRule="auto"/>
              <w:jc w:val="center"/>
              <w:rPr>
                <w:rFonts w:ascii="Times New Roman" w:hAnsi="Times New Roman"/>
                <w:szCs w:val="24"/>
              </w:rPr>
            </w:pPr>
          </w:p>
        </w:tc>
        <w:tc>
          <w:tcPr>
            <w:tcW w:w="905" w:type="dxa"/>
            <w:vAlign w:val="center"/>
          </w:tcPr>
          <w:p w14:paraId="2E2F9C8C">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73956A11">
            <w:pPr>
              <w:spacing w:after="0" w:line="240" w:lineRule="auto"/>
              <w:jc w:val="center"/>
              <w:rPr>
                <w:rFonts w:ascii="Times New Roman" w:hAnsi="Times New Roman"/>
                <w:szCs w:val="24"/>
              </w:rPr>
            </w:pPr>
          </w:p>
        </w:tc>
        <w:tc>
          <w:tcPr>
            <w:tcW w:w="1170" w:type="dxa"/>
            <w:vAlign w:val="center"/>
          </w:tcPr>
          <w:p w14:paraId="46130BC1">
            <w:pPr>
              <w:spacing w:after="0" w:line="240" w:lineRule="auto"/>
              <w:jc w:val="center"/>
              <w:rPr>
                <w:rFonts w:ascii="Times New Roman" w:hAnsi="Times New Roman"/>
                <w:szCs w:val="24"/>
              </w:rPr>
            </w:pPr>
          </w:p>
        </w:tc>
        <w:tc>
          <w:tcPr>
            <w:tcW w:w="1170" w:type="dxa"/>
            <w:vAlign w:val="center"/>
          </w:tcPr>
          <w:p w14:paraId="63B6D56F">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7826F9DC">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0A4C5467">
            <w:pPr>
              <w:spacing w:after="0" w:line="240" w:lineRule="auto"/>
              <w:jc w:val="center"/>
              <w:rPr>
                <w:rFonts w:ascii="Times New Roman" w:hAnsi="Times New Roman"/>
                <w:szCs w:val="24"/>
              </w:rPr>
            </w:pPr>
          </w:p>
        </w:tc>
        <w:tc>
          <w:tcPr>
            <w:tcW w:w="900" w:type="dxa"/>
            <w:vAlign w:val="center"/>
          </w:tcPr>
          <w:p w14:paraId="2D4EA10D">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3C853AF4">
            <w:pPr>
              <w:spacing w:after="0" w:line="240" w:lineRule="auto"/>
              <w:jc w:val="center"/>
              <w:rPr>
                <w:rFonts w:ascii="Times New Roman" w:hAnsi="Times New Roman"/>
                <w:szCs w:val="24"/>
              </w:rPr>
            </w:pPr>
          </w:p>
        </w:tc>
        <w:tc>
          <w:tcPr>
            <w:tcW w:w="820" w:type="dxa"/>
            <w:vAlign w:val="center"/>
          </w:tcPr>
          <w:p w14:paraId="5E336434">
            <w:pPr>
              <w:spacing w:after="0" w:line="240" w:lineRule="auto"/>
              <w:jc w:val="center"/>
              <w:rPr>
                <w:rFonts w:ascii="Times New Roman" w:hAnsi="Times New Roman"/>
                <w:szCs w:val="24"/>
              </w:rPr>
            </w:pPr>
          </w:p>
        </w:tc>
        <w:tc>
          <w:tcPr>
            <w:tcW w:w="900" w:type="dxa"/>
            <w:vAlign w:val="center"/>
          </w:tcPr>
          <w:p w14:paraId="7497F641">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04CF13E1">
            <w:pPr>
              <w:spacing w:after="0" w:line="240" w:lineRule="auto"/>
              <w:jc w:val="center"/>
              <w:rPr>
                <w:rFonts w:ascii="Times New Roman" w:hAnsi="Times New Roman"/>
                <w:szCs w:val="24"/>
              </w:rPr>
            </w:pPr>
          </w:p>
        </w:tc>
      </w:tr>
      <w:tr w14:paraId="0827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535" w:type="dxa"/>
            <w:vMerge w:val="restart"/>
            <w:vAlign w:val="center"/>
          </w:tcPr>
          <w:p w14:paraId="30C4B86F">
            <w:pPr>
              <w:spacing w:after="0" w:line="240" w:lineRule="auto"/>
              <w:rPr>
                <w:rFonts w:ascii="Times New Roman" w:hAnsi="Times New Roman"/>
                <w:szCs w:val="24"/>
              </w:rPr>
            </w:pPr>
            <w:r>
              <w:rPr>
                <w:rFonts w:ascii="Times New Roman" w:hAnsi="Times New Roman"/>
                <w:szCs w:val="24"/>
              </w:rPr>
              <w:t>Soil/Water Pollution</w:t>
            </w:r>
          </w:p>
        </w:tc>
        <w:tc>
          <w:tcPr>
            <w:tcW w:w="2475" w:type="dxa"/>
            <w:vAlign w:val="center"/>
          </w:tcPr>
          <w:p w14:paraId="05E44315">
            <w:pPr>
              <w:spacing w:after="0" w:line="240" w:lineRule="auto"/>
              <w:rPr>
                <w:rFonts w:ascii="Times New Roman" w:hAnsi="Times New Roman"/>
                <w:szCs w:val="24"/>
              </w:rPr>
            </w:pPr>
            <w:r>
              <w:rPr>
                <w:rFonts w:ascii="Times New Roman" w:hAnsi="Times New Roman"/>
                <w:szCs w:val="24"/>
              </w:rPr>
              <w:t xml:space="preserve">Contamination of subsurface </w:t>
            </w:r>
          </w:p>
        </w:tc>
        <w:tc>
          <w:tcPr>
            <w:tcW w:w="760" w:type="dxa"/>
            <w:vAlign w:val="center"/>
          </w:tcPr>
          <w:p w14:paraId="20EE3E6B">
            <w:pPr>
              <w:spacing w:after="0" w:line="240" w:lineRule="auto"/>
              <w:jc w:val="center"/>
              <w:rPr>
                <w:rFonts w:ascii="Times New Roman" w:hAnsi="Times New Roman"/>
                <w:szCs w:val="24"/>
              </w:rPr>
            </w:pPr>
            <w:r>
              <w:rPr>
                <w:rFonts w:ascii="Times New Roman" w:hAnsi="Times New Roman"/>
                <w:szCs w:val="24"/>
              </w:rPr>
              <w:t>X</w:t>
            </w:r>
          </w:p>
        </w:tc>
        <w:tc>
          <w:tcPr>
            <w:tcW w:w="905" w:type="dxa"/>
            <w:vAlign w:val="center"/>
          </w:tcPr>
          <w:p w14:paraId="6EDD54C7">
            <w:pPr>
              <w:spacing w:after="0" w:line="240" w:lineRule="auto"/>
              <w:jc w:val="center"/>
              <w:rPr>
                <w:rFonts w:ascii="Times New Roman" w:hAnsi="Times New Roman"/>
                <w:szCs w:val="24"/>
              </w:rPr>
            </w:pPr>
          </w:p>
        </w:tc>
        <w:tc>
          <w:tcPr>
            <w:tcW w:w="900" w:type="dxa"/>
            <w:vAlign w:val="center"/>
          </w:tcPr>
          <w:p w14:paraId="3C0A4231">
            <w:pPr>
              <w:spacing w:after="0" w:line="240" w:lineRule="auto"/>
              <w:jc w:val="center"/>
              <w:rPr>
                <w:rFonts w:ascii="Times New Roman" w:hAnsi="Times New Roman"/>
                <w:szCs w:val="24"/>
              </w:rPr>
            </w:pPr>
          </w:p>
        </w:tc>
        <w:tc>
          <w:tcPr>
            <w:tcW w:w="1170" w:type="dxa"/>
            <w:vAlign w:val="center"/>
          </w:tcPr>
          <w:p w14:paraId="709A1ADA">
            <w:pPr>
              <w:spacing w:after="0" w:line="240" w:lineRule="auto"/>
              <w:jc w:val="center"/>
              <w:rPr>
                <w:rFonts w:ascii="Times New Roman" w:hAnsi="Times New Roman"/>
                <w:szCs w:val="24"/>
              </w:rPr>
            </w:pPr>
          </w:p>
        </w:tc>
        <w:tc>
          <w:tcPr>
            <w:tcW w:w="1170" w:type="dxa"/>
            <w:vAlign w:val="center"/>
          </w:tcPr>
          <w:p w14:paraId="63052138">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56D83D48">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40B3C820">
            <w:pPr>
              <w:spacing w:after="0" w:line="240" w:lineRule="auto"/>
              <w:jc w:val="center"/>
              <w:rPr>
                <w:rFonts w:ascii="Times New Roman" w:hAnsi="Times New Roman"/>
                <w:szCs w:val="24"/>
              </w:rPr>
            </w:pPr>
          </w:p>
        </w:tc>
        <w:tc>
          <w:tcPr>
            <w:tcW w:w="900" w:type="dxa"/>
            <w:vAlign w:val="center"/>
          </w:tcPr>
          <w:p w14:paraId="4C114CB7">
            <w:pPr>
              <w:spacing w:after="0" w:line="240" w:lineRule="auto"/>
              <w:jc w:val="center"/>
              <w:rPr>
                <w:rFonts w:ascii="Times New Roman" w:hAnsi="Times New Roman"/>
                <w:szCs w:val="24"/>
              </w:rPr>
            </w:pPr>
          </w:p>
        </w:tc>
        <w:tc>
          <w:tcPr>
            <w:tcW w:w="1080" w:type="dxa"/>
            <w:vAlign w:val="center"/>
          </w:tcPr>
          <w:p w14:paraId="4EB8E132">
            <w:pPr>
              <w:spacing w:after="0" w:line="240" w:lineRule="auto"/>
              <w:jc w:val="center"/>
              <w:rPr>
                <w:rFonts w:ascii="Times New Roman" w:hAnsi="Times New Roman"/>
                <w:szCs w:val="24"/>
              </w:rPr>
            </w:pPr>
            <w:r>
              <w:rPr>
                <w:rFonts w:ascii="Times New Roman" w:hAnsi="Times New Roman"/>
                <w:szCs w:val="24"/>
              </w:rPr>
              <w:t>X</w:t>
            </w:r>
          </w:p>
        </w:tc>
        <w:tc>
          <w:tcPr>
            <w:tcW w:w="820" w:type="dxa"/>
            <w:vAlign w:val="center"/>
          </w:tcPr>
          <w:p w14:paraId="25A41767">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232294E6">
            <w:pPr>
              <w:spacing w:after="0" w:line="240" w:lineRule="auto"/>
              <w:jc w:val="center"/>
              <w:rPr>
                <w:rFonts w:ascii="Times New Roman" w:hAnsi="Times New Roman"/>
                <w:szCs w:val="24"/>
              </w:rPr>
            </w:pPr>
          </w:p>
        </w:tc>
        <w:tc>
          <w:tcPr>
            <w:tcW w:w="900" w:type="dxa"/>
            <w:vAlign w:val="center"/>
          </w:tcPr>
          <w:p w14:paraId="00B7042A">
            <w:pPr>
              <w:spacing w:after="0" w:line="240" w:lineRule="auto"/>
              <w:jc w:val="center"/>
              <w:rPr>
                <w:rFonts w:ascii="Times New Roman" w:hAnsi="Times New Roman"/>
                <w:szCs w:val="24"/>
              </w:rPr>
            </w:pPr>
            <w:r>
              <w:rPr>
                <w:rFonts w:ascii="Times New Roman" w:hAnsi="Times New Roman"/>
                <w:szCs w:val="24"/>
              </w:rPr>
              <w:t>X</w:t>
            </w:r>
          </w:p>
        </w:tc>
      </w:tr>
      <w:tr w14:paraId="1A61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535" w:type="dxa"/>
            <w:vMerge w:val="continue"/>
            <w:vAlign w:val="center"/>
          </w:tcPr>
          <w:p w14:paraId="6C77C752">
            <w:pPr>
              <w:spacing w:after="0" w:line="240" w:lineRule="auto"/>
              <w:rPr>
                <w:rFonts w:ascii="Times New Roman" w:hAnsi="Times New Roman"/>
                <w:szCs w:val="24"/>
              </w:rPr>
            </w:pPr>
          </w:p>
        </w:tc>
        <w:tc>
          <w:tcPr>
            <w:tcW w:w="2475" w:type="dxa"/>
            <w:vAlign w:val="center"/>
          </w:tcPr>
          <w:p w14:paraId="4A268B70">
            <w:pPr>
              <w:spacing w:after="0" w:line="240" w:lineRule="auto"/>
              <w:rPr>
                <w:rFonts w:ascii="Times New Roman" w:hAnsi="Times New Roman"/>
                <w:szCs w:val="24"/>
              </w:rPr>
            </w:pPr>
            <w:r>
              <w:rPr>
                <w:rFonts w:ascii="Times New Roman" w:hAnsi="Times New Roman"/>
                <w:szCs w:val="24"/>
              </w:rPr>
              <w:t>Surface water pollution from construction wastes</w:t>
            </w:r>
          </w:p>
        </w:tc>
        <w:tc>
          <w:tcPr>
            <w:tcW w:w="760" w:type="dxa"/>
            <w:vAlign w:val="center"/>
          </w:tcPr>
          <w:p w14:paraId="43C02679">
            <w:pPr>
              <w:spacing w:after="0" w:line="240" w:lineRule="auto"/>
              <w:jc w:val="center"/>
              <w:rPr>
                <w:rFonts w:ascii="Times New Roman" w:hAnsi="Times New Roman"/>
                <w:szCs w:val="24"/>
              </w:rPr>
            </w:pPr>
          </w:p>
        </w:tc>
        <w:tc>
          <w:tcPr>
            <w:tcW w:w="905" w:type="dxa"/>
            <w:vAlign w:val="center"/>
          </w:tcPr>
          <w:p w14:paraId="3D90C12E">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754FD7A7">
            <w:pPr>
              <w:spacing w:after="0" w:line="240" w:lineRule="auto"/>
              <w:jc w:val="center"/>
              <w:rPr>
                <w:rFonts w:ascii="Times New Roman" w:hAnsi="Times New Roman"/>
                <w:szCs w:val="24"/>
              </w:rPr>
            </w:pPr>
          </w:p>
        </w:tc>
        <w:tc>
          <w:tcPr>
            <w:tcW w:w="1170" w:type="dxa"/>
            <w:vAlign w:val="center"/>
          </w:tcPr>
          <w:p w14:paraId="1311089F">
            <w:pPr>
              <w:spacing w:after="0" w:line="240" w:lineRule="auto"/>
              <w:jc w:val="center"/>
              <w:rPr>
                <w:rFonts w:ascii="Times New Roman" w:hAnsi="Times New Roman"/>
                <w:szCs w:val="24"/>
              </w:rPr>
            </w:pPr>
          </w:p>
        </w:tc>
        <w:tc>
          <w:tcPr>
            <w:tcW w:w="1170" w:type="dxa"/>
            <w:vAlign w:val="center"/>
          </w:tcPr>
          <w:p w14:paraId="0F84856B">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69FF228D">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7BDD5C67">
            <w:pPr>
              <w:spacing w:after="0" w:line="240" w:lineRule="auto"/>
              <w:jc w:val="center"/>
              <w:rPr>
                <w:rFonts w:ascii="Times New Roman" w:hAnsi="Times New Roman"/>
                <w:szCs w:val="24"/>
              </w:rPr>
            </w:pPr>
          </w:p>
        </w:tc>
        <w:tc>
          <w:tcPr>
            <w:tcW w:w="900" w:type="dxa"/>
            <w:vAlign w:val="center"/>
          </w:tcPr>
          <w:p w14:paraId="762ECBCF">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7C4DAFB8">
            <w:pPr>
              <w:spacing w:after="0" w:line="240" w:lineRule="auto"/>
              <w:jc w:val="center"/>
              <w:rPr>
                <w:rFonts w:ascii="Times New Roman" w:hAnsi="Times New Roman"/>
                <w:szCs w:val="24"/>
              </w:rPr>
            </w:pPr>
          </w:p>
        </w:tc>
        <w:tc>
          <w:tcPr>
            <w:tcW w:w="820" w:type="dxa"/>
            <w:vAlign w:val="center"/>
          </w:tcPr>
          <w:p w14:paraId="4B5B18DC">
            <w:pPr>
              <w:spacing w:after="0" w:line="240" w:lineRule="auto"/>
              <w:jc w:val="center"/>
              <w:rPr>
                <w:rFonts w:ascii="Times New Roman" w:hAnsi="Times New Roman"/>
                <w:szCs w:val="24"/>
              </w:rPr>
            </w:pPr>
          </w:p>
        </w:tc>
        <w:tc>
          <w:tcPr>
            <w:tcW w:w="900" w:type="dxa"/>
            <w:vAlign w:val="center"/>
          </w:tcPr>
          <w:p w14:paraId="00D582DF">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1A0A5B6A">
            <w:pPr>
              <w:spacing w:after="0" w:line="240" w:lineRule="auto"/>
              <w:jc w:val="center"/>
              <w:rPr>
                <w:rFonts w:ascii="Times New Roman" w:hAnsi="Times New Roman"/>
                <w:szCs w:val="24"/>
              </w:rPr>
            </w:pPr>
          </w:p>
        </w:tc>
      </w:tr>
      <w:tr w14:paraId="5973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535" w:type="dxa"/>
            <w:vAlign w:val="center"/>
          </w:tcPr>
          <w:p w14:paraId="2E457D42">
            <w:pPr>
              <w:spacing w:after="0" w:line="240" w:lineRule="auto"/>
              <w:rPr>
                <w:rFonts w:ascii="Times New Roman" w:hAnsi="Times New Roman"/>
                <w:szCs w:val="24"/>
              </w:rPr>
            </w:pPr>
            <w:r>
              <w:rPr>
                <w:rFonts w:ascii="Times New Roman" w:hAnsi="Times New Roman"/>
                <w:szCs w:val="24"/>
              </w:rPr>
              <w:t>Noise and vibrations</w:t>
            </w:r>
          </w:p>
        </w:tc>
        <w:tc>
          <w:tcPr>
            <w:tcW w:w="2475" w:type="dxa"/>
            <w:vAlign w:val="center"/>
          </w:tcPr>
          <w:p w14:paraId="3AE31219">
            <w:pPr>
              <w:spacing w:after="0" w:line="240" w:lineRule="auto"/>
              <w:rPr>
                <w:rFonts w:ascii="Times New Roman" w:hAnsi="Times New Roman"/>
                <w:szCs w:val="24"/>
              </w:rPr>
            </w:pPr>
            <w:r>
              <w:rPr>
                <w:rFonts w:ascii="Times New Roman" w:hAnsi="Times New Roman"/>
                <w:szCs w:val="24"/>
              </w:rPr>
              <w:t>Increase of noise and vibration levels due to construction activities</w:t>
            </w:r>
          </w:p>
        </w:tc>
        <w:tc>
          <w:tcPr>
            <w:tcW w:w="760" w:type="dxa"/>
            <w:vAlign w:val="center"/>
          </w:tcPr>
          <w:p w14:paraId="343A255B">
            <w:pPr>
              <w:spacing w:after="0" w:line="240" w:lineRule="auto"/>
              <w:jc w:val="center"/>
              <w:rPr>
                <w:rFonts w:ascii="Times New Roman" w:hAnsi="Times New Roman"/>
                <w:szCs w:val="24"/>
              </w:rPr>
            </w:pPr>
          </w:p>
        </w:tc>
        <w:tc>
          <w:tcPr>
            <w:tcW w:w="905" w:type="dxa"/>
            <w:vAlign w:val="center"/>
          </w:tcPr>
          <w:p w14:paraId="35B7F52B">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6D4535AE">
            <w:pPr>
              <w:spacing w:after="0" w:line="240" w:lineRule="auto"/>
              <w:jc w:val="center"/>
              <w:rPr>
                <w:rFonts w:ascii="Times New Roman" w:hAnsi="Times New Roman"/>
                <w:szCs w:val="24"/>
              </w:rPr>
            </w:pPr>
          </w:p>
        </w:tc>
        <w:tc>
          <w:tcPr>
            <w:tcW w:w="1170" w:type="dxa"/>
            <w:vAlign w:val="center"/>
          </w:tcPr>
          <w:p w14:paraId="132943DB">
            <w:pPr>
              <w:spacing w:after="0" w:line="240" w:lineRule="auto"/>
              <w:jc w:val="center"/>
              <w:rPr>
                <w:rFonts w:ascii="Times New Roman" w:hAnsi="Times New Roman"/>
                <w:szCs w:val="24"/>
              </w:rPr>
            </w:pPr>
          </w:p>
        </w:tc>
        <w:tc>
          <w:tcPr>
            <w:tcW w:w="1170" w:type="dxa"/>
            <w:vAlign w:val="center"/>
          </w:tcPr>
          <w:p w14:paraId="311CF4E9">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3EEC6C01">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0EF848A5">
            <w:pPr>
              <w:spacing w:after="0" w:line="240" w:lineRule="auto"/>
              <w:jc w:val="center"/>
              <w:rPr>
                <w:rFonts w:ascii="Times New Roman" w:hAnsi="Times New Roman"/>
                <w:szCs w:val="24"/>
              </w:rPr>
            </w:pPr>
          </w:p>
        </w:tc>
        <w:tc>
          <w:tcPr>
            <w:tcW w:w="900" w:type="dxa"/>
            <w:vAlign w:val="center"/>
          </w:tcPr>
          <w:p w14:paraId="66079318">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4BA2DF8D">
            <w:pPr>
              <w:spacing w:after="0" w:line="240" w:lineRule="auto"/>
              <w:jc w:val="center"/>
              <w:rPr>
                <w:rFonts w:ascii="Times New Roman" w:hAnsi="Times New Roman"/>
                <w:szCs w:val="24"/>
              </w:rPr>
            </w:pPr>
          </w:p>
        </w:tc>
        <w:tc>
          <w:tcPr>
            <w:tcW w:w="820" w:type="dxa"/>
            <w:vAlign w:val="center"/>
          </w:tcPr>
          <w:p w14:paraId="42670A46">
            <w:pPr>
              <w:spacing w:after="0" w:line="240" w:lineRule="auto"/>
              <w:jc w:val="center"/>
              <w:rPr>
                <w:rFonts w:ascii="Times New Roman" w:hAnsi="Times New Roman"/>
                <w:szCs w:val="24"/>
              </w:rPr>
            </w:pPr>
          </w:p>
        </w:tc>
        <w:tc>
          <w:tcPr>
            <w:tcW w:w="900" w:type="dxa"/>
            <w:vAlign w:val="center"/>
          </w:tcPr>
          <w:p w14:paraId="06020868">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1709439E">
            <w:pPr>
              <w:spacing w:after="0" w:line="240" w:lineRule="auto"/>
              <w:jc w:val="center"/>
              <w:rPr>
                <w:rFonts w:ascii="Times New Roman" w:hAnsi="Times New Roman"/>
                <w:szCs w:val="24"/>
              </w:rPr>
            </w:pPr>
          </w:p>
        </w:tc>
      </w:tr>
      <w:tr w14:paraId="5EC8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535" w:type="dxa"/>
            <w:vMerge w:val="restart"/>
            <w:vAlign w:val="center"/>
          </w:tcPr>
          <w:p w14:paraId="490B4AE8">
            <w:pPr>
              <w:spacing w:after="0" w:line="240" w:lineRule="auto"/>
              <w:rPr>
                <w:rFonts w:ascii="Times New Roman" w:hAnsi="Times New Roman"/>
                <w:szCs w:val="24"/>
              </w:rPr>
            </w:pPr>
            <w:r>
              <w:rPr>
                <w:rFonts w:ascii="Times New Roman" w:hAnsi="Times New Roman"/>
                <w:szCs w:val="24"/>
              </w:rPr>
              <w:t>Health &amp; Safety</w:t>
            </w:r>
          </w:p>
        </w:tc>
        <w:tc>
          <w:tcPr>
            <w:tcW w:w="2475" w:type="dxa"/>
            <w:vAlign w:val="center"/>
          </w:tcPr>
          <w:p w14:paraId="51458391">
            <w:pPr>
              <w:spacing w:after="0" w:line="240" w:lineRule="auto"/>
              <w:rPr>
                <w:rFonts w:ascii="Times New Roman" w:hAnsi="Times New Roman"/>
                <w:szCs w:val="24"/>
              </w:rPr>
            </w:pPr>
            <w:r>
              <w:rPr>
                <w:rFonts w:ascii="Times New Roman" w:hAnsi="Times New Roman"/>
                <w:szCs w:val="24"/>
              </w:rPr>
              <w:t>General construction related health and safety risks for workers</w:t>
            </w:r>
          </w:p>
        </w:tc>
        <w:tc>
          <w:tcPr>
            <w:tcW w:w="760" w:type="dxa"/>
            <w:vAlign w:val="center"/>
          </w:tcPr>
          <w:p w14:paraId="72D530FB">
            <w:pPr>
              <w:spacing w:after="0" w:line="240" w:lineRule="auto"/>
              <w:jc w:val="center"/>
              <w:rPr>
                <w:rFonts w:ascii="Times New Roman" w:hAnsi="Times New Roman"/>
                <w:szCs w:val="24"/>
              </w:rPr>
            </w:pPr>
          </w:p>
        </w:tc>
        <w:tc>
          <w:tcPr>
            <w:tcW w:w="905" w:type="dxa"/>
            <w:vAlign w:val="center"/>
          </w:tcPr>
          <w:p w14:paraId="77C50F2E">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5DE45D9B">
            <w:pPr>
              <w:spacing w:after="0" w:line="240" w:lineRule="auto"/>
              <w:jc w:val="center"/>
              <w:rPr>
                <w:rFonts w:ascii="Times New Roman" w:hAnsi="Times New Roman"/>
                <w:szCs w:val="24"/>
              </w:rPr>
            </w:pPr>
          </w:p>
        </w:tc>
        <w:tc>
          <w:tcPr>
            <w:tcW w:w="1170" w:type="dxa"/>
            <w:vAlign w:val="center"/>
          </w:tcPr>
          <w:p w14:paraId="1CE7F3EE">
            <w:pPr>
              <w:spacing w:after="0" w:line="240" w:lineRule="auto"/>
              <w:jc w:val="center"/>
              <w:rPr>
                <w:rFonts w:ascii="Times New Roman" w:hAnsi="Times New Roman"/>
                <w:szCs w:val="24"/>
              </w:rPr>
            </w:pPr>
          </w:p>
        </w:tc>
        <w:tc>
          <w:tcPr>
            <w:tcW w:w="1170" w:type="dxa"/>
            <w:vAlign w:val="center"/>
          </w:tcPr>
          <w:p w14:paraId="0985A52A">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671DFC78">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046B7AFD">
            <w:pPr>
              <w:spacing w:after="0" w:line="240" w:lineRule="auto"/>
              <w:jc w:val="center"/>
              <w:rPr>
                <w:rFonts w:ascii="Times New Roman" w:hAnsi="Times New Roman"/>
                <w:szCs w:val="24"/>
              </w:rPr>
            </w:pPr>
          </w:p>
        </w:tc>
        <w:tc>
          <w:tcPr>
            <w:tcW w:w="900" w:type="dxa"/>
            <w:vAlign w:val="center"/>
          </w:tcPr>
          <w:p w14:paraId="2A59E4E6">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55AF0CBE">
            <w:pPr>
              <w:spacing w:after="0" w:line="240" w:lineRule="auto"/>
              <w:jc w:val="center"/>
              <w:rPr>
                <w:rFonts w:ascii="Times New Roman" w:hAnsi="Times New Roman"/>
                <w:szCs w:val="24"/>
              </w:rPr>
            </w:pPr>
          </w:p>
        </w:tc>
        <w:tc>
          <w:tcPr>
            <w:tcW w:w="820" w:type="dxa"/>
            <w:vAlign w:val="center"/>
          </w:tcPr>
          <w:p w14:paraId="3788AFEA">
            <w:pPr>
              <w:spacing w:after="0" w:line="240" w:lineRule="auto"/>
              <w:jc w:val="center"/>
              <w:rPr>
                <w:rFonts w:ascii="Times New Roman" w:hAnsi="Times New Roman"/>
                <w:szCs w:val="24"/>
              </w:rPr>
            </w:pPr>
          </w:p>
        </w:tc>
        <w:tc>
          <w:tcPr>
            <w:tcW w:w="900" w:type="dxa"/>
            <w:vAlign w:val="center"/>
          </w:tcPr>
          <w:p w14:paraId="11D16426">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28FBCBDD">
            <w:pPr>
              <w:spacing w:after="0" w:line="240" w:lineRule="auto"/>
              <w:jc w:val="center"/>
              <w:rPr>
                <w:rFonts w:ascii="Times New Roman" w:hAnsi="Times New Roman"/>
                <w:szCs w:val="24"/>
              </w:rPr>
            </w:pPr>
            <w:r>
              <w:rPr>
                <w:rFonts w:ascii="Times New Roman" w:hAnsi="Times New Roman"/>
                <w:szCs w:val="24"/>
              </w:rPr>
              <w:t>X</w:t>
            </w:r>
          </w:p>
        </w:tc>
      </w:tr>
      <w:tr w14:paraId="6FAE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535" w:type="dxa"/>
            <w:vMerge w:val="continue"/>
            <w:vAlign w:val="center"/>
          </w:tcPr>
          <w:p w14:paraId="5431C34A">
            <w:pPr>
              <w:spacing w:after="0" w:line="240" w:lineRule="auto"/>
              <w:rPr>
                <w:rFonts w:ascii="Times New Roman" w:hAnsi="Times New Roman"/>
                <w:szCs w:val="24"/>
              </w:rPr>
            </w:pPr>
          </w:p>
        </w:tc>
        <w:tc>
          <w:tcPr>
            <w:tcW w:w="2475" w:type="dxa"/>
            <w:vAlign w:val="center"/>
          </w:tcPr>
          <w:p w14:paraId="141DCC4C">
            <w:pPr>
              <w:spacing w:after="0" w:line="240" w:lineRule="auto"/>
              <w:rPr>
                <w:rFonts w:ascii="Times New Roman" w:hAnsi="Times New Roman"/>
                <w:szCs w:val="24"/>
              </w:rPr>
            </w:pPr>
            <w:r>
              <w:rPr>
                <w:rFonts w:ascii="Times New Roman" w:hAnsi="Times New Roman"/>
                <w:szCs w:val="24"/>
              </w:rPr>
              <w:t>HIV/AIDS and increased disease risks.</w:t>
            </w:r>
          </w:p>
        </w:tc>
        <w:tc>
          <w:tcPr>
            <w:tcW w:w="760" w:type="dxa"/>
            <w:vAlign w:val="center"/>
          </w:tcPr>
          <w:p w14:paraId="56332DFD">
            <w:pPr>
              <w:spacing w:after="0" w:line="240" w:lineRule="auto"/>
              <w:jc w:val="center"/>
              <w:rPr>
                <w:rFonts w:ascii="Times New Roman" w:hAnsi="Times New Roman"/>
                <w:szCs w:val="24"/>
              </w:rPr>
            </w:pPr>
            <w:r>
              <w:rPr>
                <w:rFonts w:ascii="Times New Roman" w:hAnsi="Times New Roman"/>
                <w:szCs w:val="24"/>
              </w:rPr>
              <w:t>X</w:t>
            </w:r>
          </w:p>
        </w:tc>
        <w:tc>
          <w:tcPr>
            <w:tcW w:w="905" w:type="dxa"/>
            <w:vAlign w:val="center"/>
          </w:tcPr>
          <w:p w14:paraId="04782D76">
            <w:pPr>
              <w:spacing w:after="0" w:line="240" w:lineRule="auto"/>
              <w:jc w:val="center"/>
              <w:rPr>
                <w:rFonts w:ascii="Times New Roman" w:hAnsi="Times New Roman"/>
                <w:szCs w:val="24"/>
              </w:rPr>
            </w:pPr>
          </w:p>
        </w:tc>
        <w:tc>
          <w:tcPr>
            <w:tcW w:w="900" w:type="dxa"/>
            <w:vAlign w:val="center"/>
          </w:tcPr>
          <w:p w14:paraId="1174C696">
            <w:pPr>
              <w:spacing w:after="0" w:line="240" w:lineRule="auto"/>
              <w:jc w:val="center"/>
              <w:rPr>
                <w:rFonts w:ascii="Times New Roman" w:hAnsi="Times New Roman"/>
                <w:szCs w:val="24"/>
              </w:rPr>
            </w:pPr>
          </w:p>
        </w:tc>
        <w:tc>
          <w:tcPr>
            <w:tcW w:w="1170" w:type="dxa"/>
            <w:vAlign w:val="center"/>
          </w:tcPr>
          <w:p w14:paraId="47F31D3E">
            <w:pPr>
              <w:spacing w:after="0" w:line="240" w:lineRule="auto"/>
              <w:jc w:val="center"/>
              <w:rPr>
                <w:rFonts w:ascii="Times New Roman" w:hAnsi="Times New Roman"/>
                <w:szCs w:val="24"/>
              </w:rPr>
            </w:pPr>
          </w:p>
        </w:tc>
        <w:tc>
          <w:tcPr>
            <w:tcW w:w="1170" w:type="dxa"/>
            <w:vAlign w:val="center"/>
          </w:tcPr>
          <w:p w14:paraId="54B5A891">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5810A2BC">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113FDAE5">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59BD3970">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4B516B02">
            <w:pPr>
              <w:spacing w:after="0" w:line="240" w:lineRule="auto"/>
              <w:jc w:val="center"/>
              <w:rPr>
                <w:rFonts w:ascii="Times New Roman" w:hAnsi="Times New Roman"/>
                <w:szCs w:val="24"/>
              </w:rPr>
            </w:pPr>
            <w:r>
              <w:rPr>
                <w:rFonts w:ascii="Times New Roman" w:hAnsi="Times New Roman"/>
                <w:szCs w:val="24"/>
              </w:rPr>
              <w:t>X</w:t>
            </w:r>
          </w:p>
        </w:tc>
        <w:tc>
          <w:tcPr>
            <w:tcW w:w="820" w:type="dxa"/>
            <w:vAlign w:val="center"/>
          </w:tcPr>
          <w:p w14:paraId="0D830618">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768D7C70">
            <w:pPr>
              <w:spacing w:after="0" w:line="240" w:lineRule="auto"/>
              <w:jc w:val="center"/>
              <w:rPr>
                <w:rFonts w:ascii="Times New Roman" w:hAnsi="Times New Roman"/>
                <w:szCs w:val="24"/>
              </w:rPr>
            </w:pPr>
          </w:p>
        </w:tc>
        <w:tc>
          <w:tcPr>
            <w:tcW w:w="900" w:type="dxa"/>
            <w:vAlign w:val="center"/>
          </w:tcPr>
          <w:p w14:paraId="2CEBDDF5">
            <w:pPr>
              <w:spacing w:after="0" w:line="240" w:lineRule="auto"/>
              <w:jc w:val="center"/>
              <w:rPr>
                <w:rFonts w:ascii="Times New Roman" w:hAnsi="Times New Roman"/>
                <w:szCs w:val="24"/>
              </w:rPr>
            </w:pPr>
            <w:r>
              <w:rPr>
                <w:rFonts w:ascii="Times New Roman" w:hAnsi="Times New Roman"/>
                <w:szCs w:val="24"/>
              </w:rPr>
              <w:t>X</w:t>
            </w:r>
          </w:p>
        </w:tc>
      </w:tr>
      <w:tr w14:paraId="7B29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35" w:type="dxa"/>
            <w:vAlign w:val="center"/>
          </w:tcPr>
          <w:p w14:paraId="208F14A9">
            <w:pPr>
              <w:spacing w:after="0" w:line="240" w:lineRule="auto"/>
              <w:rPr>
                <w:rFonts w:ascii="Times New Roman" w:hAnsi="Times New Roman"/>
                <w:szCs w:val="24"/>
              </w:rPr>
            </w:pPr>
            <w:r>
              <w:rPr>
                <w:rFonts w:ascii="Times New Roman" w:hAnsi="Times New Roman"/>
                <w:szCs w:val="24"/>
              </w:rPr>
              <w:t>Solid and liquid waste</w:t>
            </w:r>
          </w:p>
        </w:tc>
        <w:tc>
          <w:tcPr>
            <w:tcW w:w="2475" w:type="dxa"/>
            <w:vAlign w:val="center"/>
          </w:tcPr>
          <w:p w14:paraId="2C186CBD">
            <w:pPr>
              <w:spacing w:after="0" w:line="240" w:lineRule="auto"/>
              <w:rPr>
                <w:rFonts w:ascii="Times New Roman" w:hAnsi="Times New Roman"/>
                <w:szCs w:val="24"/>
              </w:rPr>
            </w:pPr>
            <w:r>
              <w:rPr>
                <w:rFonts w:ascii="Times New Roman" w:hAnsi="Times New Roman"/>
                <w:szCs w:val="24"/>
              </w:rPr>
              <w:t xml:space="preserve">Generation of both solid and liquid waste at the construction camps </w:t>
            </w:r>
          </w:p>
        </w:tc>
        <w:tc>
          <w:tcPr>
            <w:tcW w:w="760" w:type="dxa"/>
            <w:vAlign w:val="center"/>
          </w:tcPr>
          <w:p w14:paraId="4010643B">
            <w:pPr>
              <w:spacing w:after="0" w:line="240" w:lineRule="auto"/>
              <w:jc w:val="center"/>
              <w:rPr>
                <w:rFonts w:ascii="Times New Roman" w:hAnsi="Times New Roman"/>
                <w:szCs w:val="24"/>
              </w:rPr>
            </w:pPr>
          </w:p>
        </w:tc>
        <w:tc>
          <w:tcPr>
            <w:tcW w:w="905" w:type="dxa"/>
            <w:vAlign w:val="center"/>
          </w:tcPr>
          <w:p w14:paraId="4FE1EF8B">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29AF859C">
            <w:pPr>
              <w:spacing w:after="0" w:line="240" w:lineRule="auto"/>
              <w:jc w:val="center"/>
              <w:rPr>
                <w:rFonts w:ascii="Times New Roman" w:hAnsi="Times New Roman"/>
                <w:szCs w:val="24"/>
              </w:rPr>
            </w:pPr>
          </w:p>
        </w:tc>
        <w:tc>
          <w:tcPr>
            <w:tcW w:w="1170" w:type="dxa"/>
            <w:vAlign w:val="center"/>
          </w:tcPr>
          <w:p w14:paraId="4DA56A8B">
            <w:pPr>
              <w:spacing w:after="0" w:line="240" w:lineRule="auto"/>
              <w:jc w:val="center"/>
              <w:rPr>
                <w:rFonts w:ascii="Times New Roman" w:hAnsi="Times New Roman"/>
                <w:szCs w:val="24"/>
              </w:rPr>
            </w:pPr>
          </w:p>
        </w:tc>
        <w:tc>
          <w:tcPr>
            <w:tcW w:w="1170" w:type="dxa"/>
            <w:vAlign w:val="center"/>
          </w:tcPr>
          <w:p w14:paraId="5DF52B2A">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2185CDD7">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253673F2">
            <w:pPr>
              <w:spacing w:after="0" w:line="240" w:lineRule="auto"/>
              <w:jc w:val="center"/>
              <w:rPr>
                <w:rFonts w:ascii="Times New Roman" w:hAnsi="Times New Roman"/>
                <w:szCs w:val="24"/>
              </w:rPr>
            </w:pPr>
          </w:p>
        </w:tc>
        <w:tc>
          <w:tcPr>
            <w:tcW w:w="900" w:type="dxa"/>
            <w:vAlign w:val="center"/>
          </w:tcPr>
          <w:p w14:paraId="350ABF4A">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78595272">
            <w:pPr>
              <w:spacing w:after="0" w:line="240" w:lineRule="auto"/>
              <w:jc w:val="center"/>
              <w:rPr>
                <w:rFonts w:ascii="Times New Roman" w:hAnsi="Times New Roman"/>
                <w:szCs w:val="24"/>
              </w:rPr>
            </w:pPr>
            <w:r>
              <w:rPr>
                <w:rFonts w:ascii="Times New Roman" w:hAnsi="Times New Roman"/>
                <w:szCs w:val="24"/>
              </w:rPr>
              <w:t>X</w:t>
            </w:r>
          </w:p>
        </w:tc>
        <w:tc>
          <w:tcPr>
            <w:tcW w:w="820" w:type="dxa"/>
            <w:vAlign w:val="center"/>
          </w:tcPr>
          <w:p w14:paraId="15BCD415">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0820D611">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6EC0F2A2">
            <w:pPr>
              <w:spacing w:after="0" w:line="240" w:lineRule="auto"/>
              <w:jc w:val="center"/>
              <w:rPr>
                <w:rFonts w:ascii="Times New Roman" w:hAnsi="Times New Roman"/>
                <w:szCs w:val="24"/>
              </w:rPr>
            </w:pPr>
          </w:p>
        </w:tc>
      </w:tr>
      <w:tr w14:paraId="1C9C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35" w:type="dxa"/>
            <w:vAlign w:val="center"/>
          </w:tcPr>
          <w:p w14:paraId="76CA3224">
            <w:pPr>
              <w:spacing w:after="0" w:line="240" w:lineRule="auto"/>
              <w:rPr>
                <w:rFonts w:ascii="Times New Roman" w:hAnsi="Times New Roman"/>
                <w:szCs w:val="24"/>
              </w:rPr>
            </w:pPr>
            <w:r>
              <w:rPr>
                <w:rFonts w:ascii="Times New Roman" w:hAnsi="Times New Roman"/>
                <w:szCs w:val="24"/>
              </w:rPr>
              <w:t>Gender</w:t>
            </w:r>
          </w:p>
        </w:tc>
        <w:tc>
          <w:tcPr>
            <w:tcW w:w="2475" w:type="dxa"/>
            <w:vAlign w:val="center"/>
          </w:tcPr>
          <w:p w14:paraId="45F27A00">
            <w:pPr>
              <w:spacing w:after="0" w:line="240" w:lineRule="auto"/>
              <w:rPr>
                <w:rFonts w:ascii="Times New Roman" w:hAnsi="Times New Roman"/>
                <w:szCs w:val="24"/>
              </w:rPr>
            </w:pPr>
            <w:r>
              <w:rPr>
                <w:rFonts w:ascii="Times New Roman" w:hAnsi="Times New Roman"/>
                <w:szCs w:val="24"/>
              </w:rPr>
              <w:t>Increased harassment of females within and around the site</w:t>
            </w:r>
          </w:p>
        </w:tc>
        <w:tc>
          <w:tcPr>
            <w:tcW w:w="760" w:type="dxa"/>
            <w:vAlign w:val="center"/>
          </w:tcPr>
          <w:p w14:paraId="023F33A3">
            <w:pPr>
              <w:spacing w:after="0" w:line="240" w:lineRule="auto"/>
              <w:jc w:val="center"/>
              <w:rPr>
                <w:rFonts w:ascii="Times New Roman" w:hAnsi="Times New Roman"/>
                <w:szCs w:val="24"/>
              </w:rPr>
            </w:pPr>
          </w:p>
        </w:tc>
        <w:tc>
          <w:tcPr>
            <w:tcW w:w="905" w:type="dxa"/>
            <w:vAlign w:val="center"/>
          </w:tcPr>
          <w:p w14:paraId="4DAC9B54">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71CFB850">
            <w:pPr>
              <w:spacing w:after="0" w:line="240" w:lineRule="auto"/>
              <w:jc w:val="center"/>
              <w:rPr>
                <w:rFonts w:ascii="Times New Roman" w:hAnsi="Times New Roman"/>
                <w:szCs w:val="24"/>
              </w:rPr>
            </w:pPr>
          </w:p>
        </w:tc>
        <w:tc>
          <w:tcPr>
            <w:tcW w:w="1170" w:type="dxa"/>
            <w:vAlign w:val="center"/>
          </w:tcPr>
          <w:p w14:paraId="48DEBAE4">
            <w:pPr>
              <w:spacing w:after="0" w:line="240" w:lineRule="auto"/>
              <w:jc w:val="center"/>
              <w:rPr>
                <w:rFonts w:ascii="Times New Roman" w:hAnsi="Times New Roman"/>
                <w:szCs w:val="24"/>
              </w:rPr>
            </w:pPr>
          </w:p>
        </w:tc>
        <w:tc>
          <w:tcPr>
            <w:tcW w:w="1170" w:type="dxa"/>
            <w:vAlign w:val="center"/>
          </w:tcPr>
          <w:p w14:paraId="23B490FA">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612A799F">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3588A872">
            <w:pPr>
              <w:spacing w:after="0" w:line="240" w:lineRule="auto"/>
              <w:jc w:val="center"/>
              <w:rPr>
                <w:rFonts w:ascii="Times New Roman" w:hAnsi="Times New Roman"/>
                <w:szCs w:val="24"/>
              </w:rPr>
            </w:pPr>
          </w:p>
        </w:tc>
        <w:tc>
          <w:tcPr>
            <w:tcW w:w="900" w:type="dxa"/>
            <w:vAlign w:val="center"/>
          </w:tcPr>
          <w:p w14:paraId="56B2F587">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2A822D43">
            <w:pPr>
              <w:spacing w:after="0" w:line="240" w:lineRule="auto"/>
              <w:jc w:val="center"/>
              <w:rPr>
                <w:rFonts w:ascii="Times New Roman" w:hAnsi="Times New Roman"/>
                <w:szCs w:val="24"/>
              </w:rPr>
            </w:pPr>
          </w:p>
        </w:tc>
        <w:tc>
          <w:tcPr>
            <w:tcW w:w="820" w:type="dxa"/>
            <w:vAlign w:val="center"/>
          </w:tcPr>
          <w:p w14:paraId="5F0F286C">
            <w:pPr>
              <w:spacing w:after="0" w:line="240" w:lineRule="auto"/>
              <w:jc w:val="center"/>
              <w:rPr>
                <w:rFonts w:ascii="Times New Roman" w:hAnsi="Times New Roman"/>
                <w:szCs w:val="24"/>
              </w:rPr>
            </w:pPr>
          </w:p>
        </w:tc>
        <w:tc>
          <w:tcPr>
            <w:tcW w:w="900" w:type="dxa"/>
            <w:vAlign w:val="center"/>
          </w:tcPr>
          <w:p w14:paraId="638EA334">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7217F846">
            <w:pPr>
              <w:spacing w:after="0" w:line="240" w:lineRule="auto"/>
              <w:jc w:val="center"/>
              <w:rPr>
                <w:rFonts w:ascii="Times New Roman" w:hAnsi="Times New Roman"/>
                <w:szCs w:val="24"/>
              </w:rPr>
            </w:pPr>
          </w:p>
        </w:tc>
      </w:tr>
      <w:tr w14:paraId="155C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35" w:type="dxa"/>
            <w:vAlign w:val="center"/>
          </w:tcPr>
          <w:p w14:paraId="3E19BA1E">
            <w:pPr>
              <w:spacing w:after="0" w:line="240" w:lineRule="auto"/>
              <w:rPr>
                <w:rFonts w:ascii="Times New Roman" w:hAnsi="Times New Roman"/>
                <w:szCs w:val="24"/>
              </w:rPr>
            </w:pPr>
            <w:r>
              <w:rPr>
                <w:rFonts w:ascii="Times New Roman" w:hAnsi="Times New Roman"/>
                <w:szCs w:val="24"/>
              </w:rPr>
              <w:t>Crime Management</w:t>
            </w:r>
          </w:p>
        </w:tc>
        <w:tc>
          <w:tcPr>
            <w:tcW w:w="2475" w:type="dxa"/>
            <w:vAlign w:val="center"/>
          </w:tcPr>
          <w:p w14:paraId="7C05DB60">
            <w:pPr>
              <w:spacing w:after="0" w:line="240" w:lineRule="auto"/>
              <w:rPr>
                <w:rFonts w:ascii="Times New Roman" w:hAnsi="Times New Roman"/>
                <w:szCs w:val="24"/>
              </w:rPr>
            </w:pPr>
            <w:r>
              <w:rPr>
                <w:rFonts w:ascii="Times New Roman" w:hAnsi="Times New Roman"/>
                <w:szCs w:val="24"/>
              </w:rPr>
              <w:t>Increased insecurity around the project sites</w:t>
            </w:r>
          </w:p>
        </w:tc>
        <w:tc>
          <w:tcPr>
            <w:tcW w:w="760" w:type="dxa"/>
            <w:vAlign w:val="center"/>
          </w:tcPr>
          <w:p w14:paraId="07BDE0D9">
            <w:pPr>
              <w:spacing w:after="0" w:line="240" w:lineRule="auto"/>
              <w:jc w:val="center"/>
              <w:rPr>
                <w:rFonts w:ascii="Times New Roman" w:hAnsi="Times New Roman"/>
                <w:szCs w:val="24"/>
              </w:rPr>
            </w:pPr>
          </w:p>
        </w:tc>
        <w:tc>
          <w:tcPr>
            <w:tcW w:w="905" w:type="dxa"/>
            <w:vAlign w:val="center"/>
          </w:tcPr>
          <w:p w14:paraId="1A6798C3">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135C1F99">
            <w:pPr>
              <w:spacing w:after="0" w:line="240" w:lineRule="auto"/>
              <w:jc w:val="center"/>
              <w:rPr>
                <w:rFonts w:ascii="Times New Roman" w:hAnsi="Times New Roman"/>
                <w:szCs w:val="24"/>
              </w:rPr>
            </w:pPr>
          </w:p>
        </w:tc>
        <w:tc>
          <w:tcPr>
            <w:tcW w:w="1170" w:type="dxa"/>
            <w:vAlign w:val="center"/>
          </w:tcPr>
          <w:p w14:paraId="5034F13F">
            <w:pPr>
              <w:spacing w:after="0" w:line="240" w:lineRule="auto"/>
              <w:jc w:val="center"/>
              <w:rPr>
                <w:rFonts w:ascii="Times New Roman" w:hAnsi="Times New Roman"/>
                <w:szCs w:val="24"/>
              </w:rPr>
            </w:pPr>
          </w:p>
        </w:tc>
        <w:tc>
          <w:tcPr>
            <w:tcW w:w="1170" w:type="dxa"/>
            <w:vAlign w:val="center"/>
          </w:tcPr>
          <w:p w14:paraId="1A17CE5D">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1E547C69">
            <w:pPr>
              <w:spacing w:after="0" w:line="240" w:lineRule="auto"/>
              <w:jc w:val="center"/>
              <w:rPr>
                <w:rFonts w:ascii="Times New Roman" w:hAnsi="Times New Roman"/>
                <w:szCs w:val="24"/>
              </w:rPr>
            </w:pPr>
          </w:p>
        </w:tc>
        <w:tc>
          <w:tcPr>
            <w:tcW w:w="990" w:type="dxa"/>
            <w:vAlign w:val="center"/>
          </w:tcPr>
          <w:p w14:paraId="2A358B95">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633898E3">
            <w:pPr>
              <w:spacing w:after="0" w:line="240" w:lineRule="auto"/>
              <w:jc w:val="center"/>
              <w:rPr>
                <w:rFonts w:ascii="Times New Roman" w:hAnsi="Times New Roman"/>
                <w:szCs w:val="24"/>
              </w:rPr>
            </w:pPr>
          </w:p>
        </w:tc>
        <w:tc>
          <w:tcPr>
            <w:tcW w:w="1080" w:type="dxa"/>
            <w:vAlign w:val="center"/>
          </w:tcPr>
          <w:p w14:paraId="0D4E1A6E">
            <w:pPr>
              <w:spacing w:after="0" w:line="240" w:lineRule="auto"/>
              <w:jc w:val="center"/>
              <w:rPr>
                <w:rFonts w:ascii="Times New Roman" w:hAnsi="Times New Roman"/>
                <w:szCs w:val="24"/>
              </w:rPr>
            </w:pPr>
            <w:r>
              <w:rPr>
                <w:rFonts w:ascii="Times New Roman" w:hAnsi="Times New Roman"/>
                <w:szCs w:val="24"/>
              </w:rPr>
              <w:t>X</w:t>
            </w:r>
          </w:p>
        </w:tc>
        <w:tc>
          <w:tcPr>
            <w:tcW w:w="820" w:type="dxa"/>
            <w:vAlign w:val="center"/>
          </w:tcPr>
          <w:p w14:paraId="085898E6">
            <w:pPr>
              <w:spacing w:after="0" w:line="240" w:lineRule="auto"/>
              <w:jc w:val="center"/>
              <w:rPr>
                <w:rFonts w:ascii="Times New Roman" w:hAnsi="Times New Roman"/>
                <w:szCs w:val="24"/>
              </w:rPr>
            </w:pPr>
          </w:p>
        </w:tc>
        <w:tc>
          <w:tcPr>
            <w:tcW w:w="900" w:type="dxa"/>
            <w:vAlign w:val="center"/>
          </w:tcPr>
          <w:p w14:paraId="49EE661A">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59CFD646">
            <w:pPr>
              <w:spacing w:after="0" w:line="240" w:lineRule="auto"/>
              <w:jc w:val="center"/>
              <w:rPr>
                <w:rFonts w:ascii="Times New Roman" w:hAnsi="Times New Roman"/>
                <w:szCs w:val="24"/>
              </w:rPr>
            </w:pPr>
          </w:p>
        </w:tc>
      </w:tr>
      <w:tr w14:paraId="4663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35" w:type="dxa"/>
            <w:vAlign w:val="center"/>
          </w:tcPr>
          <w:p w14:paraId="0C044313">
            <w:pPr>
              <w:spacing w:after="0" w:line="240" w:lineRule="auto"/>
              <w:rPr>
                <w:rFonts w:ascii="Times New Roman" w:hAnsi="Times New Roman"/>
                <w:szCs w:val="24"/>
              </w:rPr>
            </w:pPr>
            <w:r>
              <w:rPr>
                <w:rFonts w:ascii="Times New Roman" w:hAnsi="Times New Roman"/>
                <w:szCs w:val="24"/>
              </w:rPr>
              <w:t>Child Labour and Protection</w:t>
            </w:r>
          </w:p>
        </w:tc>
        <w:tc>
          <w:tcPr>
            <w:tcW w:w="2475" w:type="dxa"/>
            <w:vAlign w:val="center"/>
          </w:tcPr>
          <w:p w14:paraId="1A8DDE5C">
            <w:pPr>
              <w:spacing w:after="0" w:line="240" w:lineRule="auto"/>
              <w:rPr>
                <w:rFonts w:ascii="Times New Roman" w:hAnsi="Times New Roman"/>
                <w:szCs w:val="24"/>
              </w:rPr>
            </w:pPr>
            <w:r>
              <w:rPr>
                <w:rFonts w:ascii="Times New Roman" w:hAnsi="Times New Roman"/>
                <w:szCs w:val="24"/>
              </w:rPr>
              <w:t>Potential for exploitation of child labour</w:t>
            </w:r>
          </w:p>
        </w:tc>
        <w:tc>
          <w:tcPr>
            <w:tcW w:w="760" w:type="dxa"/>
            <w:vAlign w:val="center"/>
          </w:tcPr>
          <w:p w14:paraId="4F983A93">
            <w:pPr>
              <w:spacing w:after="0" w:line="240" w:lineRule="auto"/>
              <w:jc w:val="center"/>
              <w:rPr>
                <w:rFonts w:ascii="Times New Roman" w:hAnsi="Times New Roman"/>
                <w:szCs w:val="24"/>
              </w:rPr>
            </w:pPr>
          </w:p>
        </w:tc>
        <w:tc>
          <w:tcPr>
            <w:tcW w:w="905" w:type="dxa"/>
            <w:vAlign w:val="center"/>
          </w:tcPr>
          <w:p w14:paraId="1E0BFA5D">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4C9076E9">
            <w:pPr>
              <w:spacing w:after="0" w:line="240" w:lineRule="auto"/>
              <w:jc w:val="center"/>
              <w:rPr>
                <w:rFonts w:ascii="Times New Roman" w:hAnsi="Times New Roman"/>
                <w:szCs w:val="24"/>
              </w:rPr>
            </w:pPr>
          </w:p>
        </w:tc>
        <w:tc>
          <w:tcPr>
            <w:tcW w:w="1170" w:type="dxa"/>
            <w:vAlign w:val="center"/>
          </w:tcPr>
          <w:p w14:paraId="5D2E9A2A">
            <w:pPr>
              <w:spacing w:after="0" w:line="240" w:lineRule="auto"/>
              <w:jc w:val="center"/>
              <w:rPr>
                <w:rFonts w:ascii="Times New Roman" w:hAnsi="Times New Roman"/>
                <w:szCs w:val="24"/>
              </w:rPr>
            </w:pPr>
          </w:p>
        </w:tc>
        <w:tc>
          <w:tcPr>
            <w:tcW w:w="1170" w:type="dxa"/>
            <w:vAlign w:val="center"/>
          </w:tcPr>
          <w:p w14:paraId="5FDD2F13">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4363C25F">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65248183">
            <w:pPr>
              <w:spacing w:after="0" w:line="240" w:lineRule="auto"/>
              <w:jc w:val="center"/>
              <w:rPr>
                <w:rFonts w:ascii="Times New Roman" w:hAnsi="Times New Roman"/>
                <w:szCs w:val="24"/>
              </w:rPr>
            </w:pPr>
          </w:p>
        </w:tc>
        <w:tc>
          <w:tcPr>
            <w:tcW w:w="900" w:type="dxa"/>
            <w:vAlign w:val="center"/>
          </w:tcPr>
          <w:p w14:paraId="448977F9">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68CC6F2F">
            <w:pPr>
              <w:spacing w:after="0" w:line="240" w:lineRule="auto"/>
              <w:jc w:val="center"/>
              <w:rPr>
                <w:rFonts w:ascii="Times New Roman" w:hAnsi="Times New Roman"/>
                <w:szCs w:val="24"/>
              </w:rPr>
            </w:pPr>
          </w:p>
        </w:tc>
        <w:tc>
          <w:tcPr>
            <w:tcW w:w="820" w:type="dxa"/>
            <w:vAlign w:val="center"/>
          </w:tcPr>
          <w:p w14:paraId="05D25537">
            <w:pPr>
              <w:spacing w:after="0" w:line="240" w:lineRule="auto"/>
              <w:jc w:val="center"/>
              <w:rPr>
                <w:rFonts w:ascii="Times New Roman" w:hAnsi="Times New Roman"/>
                <w:szCs w:val="24"/>
              </w:rPr>
            </w:pPr>
          </w:p>
        </w:tc>
        <w:tc>
          <w:tcPr>
            <w:tcW w:w="900" w:type="dxa"/>
            <w:vAlign w:val="center"/>
          </w:tcPr>
          <w:p w14:paraId="711BCB1C">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524BF0D9">
            <w:pPr>
              <w:spacing w:after="0" w:line="240" w:lineRule="auto"/>
              <w:jc w:val="center"/>
              <w:rPr>
                <w:rFonts w:ascii="Times New Roman" w:hAnsi="Times New Roman"/>
                <w:szCs w:val="24"/>
              </w:rPr>
            </w:pPr>
          </w:p>
        </w:tc>
      </w:tr>
      <w:tr w14:paraId="1EB6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1535" w:type="dxa"/>
            <w:vAlign w:val="center"/>
          </w:tcPr>
          <w:p w14:paraId="775C0C03">
            <w:pPr>
              <w:spacing w:after="0" w:line="240" w:lineRule="auto"/>
              <w:rPr>
                <w:rFonts w:ascii="Times New Roman" w:hAnsi="Times New Roman"/>
                <w:szCs w:val="24"/>
              </w:rPr>
            </w:pPr>
            <w:r>
              <w:rPr>
                <w:rFonts w:ascii="Times New Roman" w:hAnsi="Times New Roman"/>
                <w:szCs w:val="24"/>
              </w:rPr>
              <w:t>Labour influx</w:t>
            </w:r>
          </w:p>
        </w:tc>
        <w:tc>
          <w:tcPr>
            <w:tcW w:w="2475" w:type="dxa"/>
            <w:vAlign w:val="center"/>
          </w:tcPr>
          <w:p w14:paraId="2145C10F">
            <w:pPr>
              <w:spacing w:after="0" w:line="240" w:lineRule="auto"/>
              <w:rPr>
                <w:rFonts w:ascii="Times New Roman" w:hAnsi="Times New Roman"/>
                <w:szCs w:val="24"/>
              </w:rPr>
            </w:pPr>
            <w:r>
              <w:rPr>
                <w:rFonts w:ascii="Times New Roman" w:hAnsi="Times New Roman"/>
                <w:szCs w:val="24"/>
              </w:rPr>
              <w:t>Risk of social conflict because of increase in influx population</w:t>
            </w:r>
          </w:p>
        </w:tc>
        <w:tc>
          <w:tcPr>
            <w:tcW w:w="760" w:type="dxa"/>
            <w:vAlign w:val="center"/>
          </w:tcPr>
          <w:p w14:paraId="0C0C1A91">
            <w:pPr>
              <w:spacing w:after="0" w:line="240" w:lineRule="auto"/>
              <w:jc w:val="center"/>
              <w:rPr>
                <w:rFonts w:ascii="Times New Roman" w:hAnsi="Times New Roman"/>
                <w:szCs w:val="24"/>
              </w:rPr>
            </w:pPr>
          </w:p>
        </w:tc>
        <w:tc>
          <w:tcPr>
            <w:tcW w:w="905" w:type="dxa"/>
            <w:vAlign w:val="center"/>
          </w:tcPr>
          <w:p w14:paraId="4763F668">
            <w:pPr>
              <w:spacing w:after="0" w:line="240" w:lineRule="auto"/>
              <w:jc w:val="center"/>
              <w:rPr>
                <w:rFonts w:ascii="Times New Roman" w:hAnsi="Times New Roman"/>
                <w:szCs w:val="24"/>
              </w:rPr>
            </w:pPr>
          </w:p>
        </w:tc>
        <w:tc>
          <w:tcPr>
            <w:tcW w:w="900" w:type="dxa"/>
            <w:vAlign w:val="center"/>
          </w:tcPr>
          <w:p w14:paraId="60F0C36E">
            <w:pPr>
              <w:spacing w:after="0" w:line="240" w:lineRule="auto"/>
              <w:jc w:val="center"/>
              <w:rPr>
                <w:rFonts w:ascii="Times New Roman" w:hAnsi="Times New Roman"/>
                <w:szCs w:val="24"/>
              </w:rPr>
            </w:pPr>
            <w:r>
              <w:rPr>
                <w:rFonts w:ascii="Times New Roman" w:hAnsi="Times New Roman"/>
                <w:szCs w:val="24"/>
              </w:rPr>
              <w:t>X</w:t>
            </w:r>
          </w:p>
        </w:tc>
        <w:tc>
          <w:tcPr>
            <w:tcW w:w="1170" w:type="dxa"/>
            <w:vAlign w:val="center"/>
          </w:tcPr>
          <w:p w14:paraId="0F863006">
            <w:pPr>
              <w:spacing w:after="0" w:line="240" w:lineRule="auto"/>
              <w:jc w:val="center"/>
              <w:rPr>
                <w:rFonts w:ascii="Times New Roman" w:hAnsi="Times New Roman"/>
                <w:szCs w:val="24"/>
              </w:rPr>
            </w:pPr>
          </w:p>
        </w:tc>
        <w:tc>
          <w:tcPr>
            <w:tcW w:w="1170" w:type="dxa"/>
            <w:vAlign w:val="center"/>
          </w:tcPr>
          <w:p w14:paraId="29ED2096">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0907DC22">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0D94BC54">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1E0989EE">
            <w:pPr>
              <w:spacing w:after="0" w:line="240" w:lineRule="auto"/>
              <w:jc w:val="center"/>
              <w:rPr>
                <w:rFonts w:ascii="Times New Roman" w:hAnsi="Times New Roman"/>
                <w:szCs w:val="24"/>
              </w:rPr>
            </w:pPr>
          </w:p>
        </w:tc>
        <w:tc>
          <w:tcPr>
            <w:tcW w:w="1080" w:type="dxa"/>
            <w:vAlign w:val="center"/>
          </w:tcPr>
          <w:p w14:paraId="6EFD37C4">
            <w:pPr>
              <w:spacing w:after="0" w:line="240" w:lineRule="auto"/>
              <w:jc w:val="center"/>
              <w:rPr>
                <w:rFonts w:ascii="Times New Roman" w:hAnsi="Times New Roman"/>
                <w:szCs w:val="24"/>
              </w:rPr>
            </w:pPr>
            <w:r>
              <w:rPr>
                <w:rFonts w:ascii="Times New Roman" w:hAnsi="Times New Roman"/>
                <w:szCs w:val="24"/>
              </w:rPr>
              <w:t>X</w:t>
            </w:r>
          </w:p>
        </w:tc>
        <w:tc>
          <w:tcPr>
            <w:tcW w:w="820" w:type="dxa"/>
            <w:vAlign w:val="center"/>
          </w:tcPr>
          <w:p w14:paraId="03513EE9">
            <w:pPr>
              <w:spacing w:after="0" w:line="240" w:lineRule="auto"/>
              <w:jc w:val="center"/>
              <w:rPr>
                <w:rFonts w:ascii="Times New Roman" w:hAnsi="Times New Roman"/>
                <w:szCs w:val="24"/>
              </w:rPr>
            </w:pPr>
          </w:p>
        </w:tc>
        <w:tc>
          <w:tcPr>
            <w:tcW w:w="900" w:type="dxa"/>
            <w:vAlign w:val="center"/>
          </w:tcPr>
          <w:p w14:paraId="5EE728EA">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651982A8">
            <w:pPr>
              <w:spacing w:after="0" w:line="240" w:lineRule="auto"/>
              <w:jc w:val="center"/>
              <w:rPr>
                <w:rFonts w:ascii="Times New Roman" w:hAnsi="Times New Roman"/>
                <w:szCs w:val="24"/>
              </w:rPr>
            </w:pPr>
          </w:p>
        </w:tc>
      </w:tr>
      <w:tr w14:paraId="6F0B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35" w:type="dxa"/>
            <w:vAlign w:val="center"/>
          </w:tcPr>
          <w:p w14:paraId="54FCAD7B">
            <w:pPr>
              <w:spacing w:after="0" w:line="240" w:lineRule="auto"/>
              <w:rPr>
                <w:rFonts w:ascii="Times New Roman" w:hAnsi="Times New Roman"/>
                <w:szCs w:val="24"/>
              </w:rPr>
            </w:pPr>
            <w:r>
              <w:rPr>
                <w:rFonts w:ascii="Times New Roman" w:hAnsi="Times New Roman"/>
                <w:szCs w:val="24"/>
              </w:rPr>
              <w:t>GBV/SEA</w:t>
            </w:r>
          </w:p>
        </w:tc>
        <w:tc>
          <w:tcPr>
            <w:tcW w:w="2475" w:type="dxa"/>
            <w:vAlign w:val="center"/>
          </w:tcPr>
          <w:p w14:paraId="7C98190D">
            <w:pPr>
              <w:spacing w:after="0" w:line="240" w:lineRule="auto"/>
              <w:rPr>
                <w:rFonts w:ascii="Times New Roman" w:hAnsi="Times New Roman"/>
                <w:szCs w:val="24"/>
              </w:rPr>
            </w:pPr>
            <w:r>
              <w:rPr>
                <w:rFonts w:ascii="Times New Roman" w:hAnsi="Times New Roman"/>
                <w:szCs w:val="24"/>
              </w:rPr>
              <w:t>SEA</w:t>
            </w:r>
          </w:p>
        </w:tc>
        <w:tc>
          <w:tcPr>
            <w:tcW w:w="760" w:type="dxa"/>
            <w:vAlign w:val="center"/>
          </w:tcPr>
          <w:p w14:paraId="720611F6">
            <w:pPr>
              <w:spacing w:after="0" w:line="240" w:lineRule="auto"/>
              <w:jc w:val="center"/>
              <w:rPr>
                <w:rFonts w:ascii="Times New Roman" w:hAnsi="Times New Roman"/>
                <w:szCs w:val="24"/>
              </w:rPr>
            </w:pPr>
          </w:p>
        </w:tc>
        <w:tc>
          <w:tcPr>
            <w:tcW w:w="905" w:type="dxa"/>
            <w:vAlign w:val="center"/>
          </w:tcPr>
          <w:p w14:paraId="6DEC0F83">
            <w:pPr>
              <w:spacing w:after="0" w:line="240" w:lineRule="auto"/>
              <w:jc w:val="center"/>
              <w:rPr>
                <w:rFonts w:ascii="Times New Roman" w:hAnsi="Times New Roman"/>
                <w:szCs w:val="24"/>
              </w:rPr>
            </w:pPr>
          </w:p>
        </w:tc>
        <w:tc>
          <w:tcPr>
            <w:tcW w:w="900" w:type="dxa"/>
            <w:vAlign w:val="center"/>
          </w:tcPr>
          <w:p w14:paraId="141C0C41">
            <w:pPr>
              <w:spacing w:after="0" w:line="240" w:lineRule="auto"/>
              <w:jc w:val="center"/>
              <w:rPr>
                <w:rFonts w:ascii="Times New Roman" w:hAnsi="Times New Roman"/>
                <w:szCs w:val="24"/>
              </w:rPr>
            </w:pPr>
            <w:r>
              <w:rPr>
                <w:rFonts w:ascii="Times New Roman" w:hAnsi="Times New Roman"/>
                <w:szCs w:val="24"/>
              </w:rPr>
              <w:t>x</w:t>
            </w:r>
          </w:p>
        </w:tc>
        <w:tc>
          <w:tcPr>
            <w:tcW w:w="1170" w:type="dxa"/>
            <w:vAlign w:val="center"/>
          </w:tcPr>
          <w:p w14:paraId="130ED03D">
            <w:pPr>
              <w:spacing w:after="0" w:line="240" w:lineRule="auto"/>
              <w:jc w:val="center"/>
              <w:rPr>
                <w:rFonts w:ascii="Times New Roman" w:hAnsi="Times New Roman"/>
                <w:szCs w:val="24"/>
              </w:rPr>
            </w:pPr>
          </w:p>
        </w:tc>
        <w:tc>
          <w:tcPr>
            <w:tcW w:w="1170" w:type="dxa"/>
            <w:vAlign w:val="center"/>
          </w:tcPr>
          <w:p w14:paraId="3A577799">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4893EE57">
            <w:pPr>
              <w:spacing w:after="0" w:line="240" w:lineRule="auto"/>
              <w:jc w:val="center"/>
              <w:rPr>
                <w:rFonts w:ascii="Times New Roman" w:hAnsi="Times New Roman"/>
                <w:szCs w:val="24"/>
              </w:rPr>
            </w:pPr>
            <w:r>
              <w:rPr>
                <w:rFonts w:ascii="Times New Roman" w:hAnsi="Times New Roman"/>
                <w:szCs w:val="24"/>
              </w:rPr>
              <w:t>x</w:t>
            </w:r>
          </w:p>
        </w:tc>
        <w:tc>
          <w:tcPr>
            <w:tcW w:w="990" w:type="dxa"/>
            <w:vAlign w:val="center"/>
          </w:tcPr>
          <w:p w14:paraId="6E2B5D90">
            <w:pPr>
              <w:spacing w:after="0" w:line="240" w:lineRule="auto"/>
              <w:jc w:val="center"/>
              <w:rPr>
                <w:rFonts w:ascii="Times New Roman" w:hAnsi="Times New Roman"/>
                <w:szCs w:val="24"/>
              </w:rPr>
            </w:pPr>
          </w:p>
        </w:tc>
        <w:tc>
          <w:tcPr>
            <w:tcW w:w="900" w:type="dxa"/>
            <w:vAlign w:val="center"/>
          </w:tcPr>
          <w:p w14:paraId="10B154FA">
            <w:pPr>
              <w:spacing w:after="0" w:line="240" w:lineRule="auto"/>
              <w:jc w:val="center"/>
              <w:rPr>
                <w:rFonts w:ascii="Times New Roman" w:hAnsi="Times New Roman"/>
                <w:szCs w:val="24"/>
              </w:rPr>
            </w:pPr>
          </w:p>
        </w:tc>
        <w:tc>
          <w:tcPr>
            <w:tcW w:w="1080" w:type="dxa"/>
            <w:vAlign w:val="center"/>
          </w:tcPr>
          <w:p w14:paraId="7E15B171">
            <w:pPr>
              <w:spacing w:after="0" w:line="240" w:lineRule="auto"/>
              <w:jc w:val="center"/>
              <w:rPr>
                <w:rFonts w:ascii="Times New Roman" w:hAnsi="Times New Roman"/>
                <w:szCs w:val="24"/>
              </w:rPr>
            </w:pPr>
          </w:p>
        </w:tc>
        <w:tc>
          <w:tcPr>
            <w:tcW w:w="820" w:type="dxa"/>
            <w:vAlign w:val="center"/>
          </w:tcPr>
          <w:p w14:paraId="214525DA">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74C9E1F3">
            <w:pPr>
              <w:spacing w:after="0" w:line="240" w:lineRule="auto"/>
              <w:jc w:val="center"/>
              <w:rPr>
                <w:rFonts w:ascii="Times New Roman" w:hAnsi="Times New Roman"/>
                <w:szCs w:val="24"/>
              </w:rPr>
            </w:pPr>
          </w:p>
        </w:tc>
        <w:tc>
          <w:tcPr>
            <w:tcW w:w="900" w:type="dxa"/>
            <w:vAlign w:val="center"/>
          </w:tcPr>
          <w:p w14:paraId="7FEE2B99">
            <w:pPr>
              <w:spacing w:after="0" w:line="240" w:lineRule="auto"/>
              <w:jc w:val="center"/>
              <w:rPr>
                <w:rFonts w:ascii="Times New Roman" w:hAnsi="Times New Roman"/>
                <w:szCs w:val="24"/>
              </w:rPr>
            </w:pPr>
            <w:r>
              <w:rPr>
                <w:rFonts w:ascii="Times New Roman" w:hAnsi="Times New Roman"/>
                <w:szCs w:val="24"/>
              </w:rPr>
              <w:t>x</w:t>
            </w:r>
          </w:p>
        </w:tc>
      </w:tr>
    </w:tbl>
    <w:p w14:paraId="27E2DB41">
      <w:pPr>
        <w:spacing w:line="240" w:lineRule="auto"/>
        <w:rPr>
          <w:rFonts w:ascii="Times New Roman" w:hAnsi="Times New Roman"/>
          <w:szCs w:val="24"/>
        </w:rPr>
      </w:pPr>
    </w:p>
    <w:p w14:paraId="450207E2">
      <w:pPr>
        <w:spacing w:line="240" w:lineRule="auto"/>
        <w:rPr>
          <w:rFonts w:ascii="Times New Roman" w:hAnsi="Times New Roman"/>
          <w:szCs w:val="24"/>
        </w:rPr>
      </w:pPr>
    </w:p>
    <w:p w14:paraId="79F53693">
      <w:pPr>
        <w:spacing w:line="240" w:lineRule="auto"/>
        <w:rPr>
          <w:rFonts w:ascii="Times New Roman" w:hAnsi="Times New Roman"/>
          <w:szCs w:val="24"/>
        </w:rPr>
      </w:pPr>
    </w:p>
    <w:p w14:paraId="4F3B9E90">
      <w:pPr>
        <w:spacing w:line="240" w:lineRule="auto"/>
        <w:rPr>
          <w:rFonts w:ascii="Times New Roman" w:hAnsi="Times New Roman"/>
          <w:szCs w:val="24"/>
        </w:rPr>
      </w:pPr>
    </w:p>
    <w:p w14:paraId="3D3EC936">
      <w:pPr>
        <w:spacing w:line="240" w:lineRule="auto"/>
        <w:rPr>
          <w:rFonts w:ascii="Times New Roman" w:hAnsi="Times New Roman"/>
          <w:szCs w:val="24"/>
        </w:rPr>
      </w:pPr>
    </w:p>
    <w:p w14:paraId="2CBA00B9">
      <w:pPr>
        <w:spacing w:line="240" w:lineRule="auto"/>
        <w:rPr>
          <w:rFonts w:ascii="Times New Roman" w:hAnsi="Times New Roman"/>
          <w:szCs w:val="24"/>
        </w:rPr>
      </w:pPr>
    </w:p>
    <w:p w14:paraId="76BA8675">
      <w:pPr>
        <w:spacing w:line="240" w:lineRule="auto"/>
        <w:rPr>
          <w:rFonts w:ascii="Times New Roman" w:hAnsi="Times New Roman"/>
          <w:szCs w:val="24"/>
        </w:rPr>
      </w:pPr>
    </w:p>
    <w:p w14:paraId="6CC51AC1">
      <w:pPr>
        <w:spacing w:line="240" w:lineRule="auto"/>
        <w:rPr>
          <w:rFonts w:ascii="Times New Roman" w:hAnsi="Times New Roman"/>
          <w:szCs w:val="24"/>
        </w:rPr>
      </w:pPr>
    </w:p>
    <w:p w14:paraId="60A05FD0">
      <w:pPr>
        <w:spacing w:line="240" w:lineRule="auto"/>
        <w:rPr>
          <w:rFonts w:ascii="Times New Roman" w:hAnsi="Times New Roman"/>
          <w:szCs w:val="24"/>
        </w:rPr>
      </w:pPr>
    </w:p>
    <w:p w14:paraId="03889897">
      <w:pPr>
        <w:spacing w:line="240" w:lineRule="auto"/>
        <w:rPr>
          <w:rFonts w:ascii="Times New Roman" w:hAnsi="Times New Roman"/>
          <w:szCs w:val="24"/>
        </w:rPr>
      </w:pPr>
    </w:p>
    <w:p w14:paraId="2A528D28">
      <w:pPr>
        <w:keepNext/>
        <w:spacing w:after="200" w:line="240" w:lineRule="auto"/>
        <w:rPr>
          <w:rFonts w:ascii="Times New Roman" w:hAnsi="Times New Roman"/>
          <w:i/>
          <w:iCs/>
          <w:szCs w:val="24"/>
        </w:rPr>
      </w:pPr>
    </w:p>
    <w:p w14:paraId="3BFE0921">
      <w:pPr>
        <w:pStyle w:val="10"/>
        <w:keepNext/>
        <w:rPr>
          <w:rFonts w:ascii="Times New Roman" w:hAnsi="Times New Roman"/>
          <w:b/>
          <w:bCs/>
          <w:color w:val="auto"/>
        </w:rPr>
      </w:pPr>
      <w:bookmarkStart w:id="571" w:name="_Toc224740302"/>
      <w:r>
        <w:rPr>
          <w:rFonts w:ascii="Times New Roman" w:hAnsi="Times New Roman"/>
          <w:b/>
          <w:bCs/>
          <w:color w:val="auto"/>
        </w:rPr>
        <w:t xml:space="preserve">Table </w:t>
      </w:r>
      <w:r>
        <w:rPr>
          <w:rFonts w:ascii="Times New Roman" w:hAnsi="Times New Roman"/>
          <w:b/>
          <w:bCs/>
          <w:color w:val="auto"/>
        </w:rPr>
        <w:fldChar w:fldCharType="begin"/>
      </w:r>
      <w:r>
        <w:rPr>
          <w:rFonts w:ascii="Times New Roman" w:hAnsi="Times New Roman"/>
          <w:b/>
          <w:bCs/>
          <w:color w:val="auto"/>
        </w:rPr>
        <w:instrText xml:space="preserve"> SEQ Table \* ARABIC </w:instrText>
      </w:r>
      <w:r>
        <w:rPr>
          <w:rFonts w:ascii="Times New Roman" w:hAnsi="Times New Roman"/>
          <w:b/>
          <w:bCs/>
          <w:color w:val="auto"/>
        </w:rPr>
        <w:fldChar w:fldCharType="separate"/>
      </w:r>
      <w:r>
        <w:rPr>
          <w:rFonts w:ascii="Times New Roman" w:hAnsi="Times New Roman"/>
          <w:b/>
          <w:bCs/>
          <w:color w:val="auto"/>
        </w:rPr>
        <w:t>7</w:t>
      </w:r>
      <w:r>
        <w:rPr>
          <w:rFonts w:ascii="Times New Roman" w:hAnsi="Times New Roman"/>
          <w:b/>
          <w:bCs/>
          <w:color w:val="auto"/>
        </w:rPr>
        <w:fldChar w:fldCharType="end"/>
      </w:r>
      <w:bookmarkStart w:id="572" w:name="_Toc1734"/>
      <w:r>
        <w:rPr>
          <w:rFonts w:ascii="Times New Roman" w:hAnsi="Times New Roman"/>
          <w:b/>
          <w:bCs/>
          <w:color w:val="auto"/>
        </w:rPr>
        <w:t>:  Characterization of Operation Phase Impacts</w:t>
      </w:r>
      <w:bookmarkEnd w:id="571"/>
      <w:bookmarkEnd w:id="572"/>
    </w:p>
    <w:tbl>
      <w:tblPr>
        <w:tblStyle w:val="7"/>
        <w:tblW w:w="16020" w:type="dxa"/>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589"/>
        <w:gridCol w:w="1170"/>
        <w:gridCol w:w="1170"/>
        <w:gridCol w:w="1170"/>
        <w:gridCol w:w="995"/>
        <w:gridCol w:w="1080"/>
        <w:gridCol w:w="900"/>
        <w:gridCol w:w="1080"/>
        <w:gridCol w:w="900"/>
        <w:gridCol w:w="1160"/>
        <w:gridCol w:w="820"/>
        <w:gridCol w:w="810"/>
        <w:gridCol w:w="900"/>
      </w:tblGrid>
      <w:tr w14:paraId="4DFA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1276" w:type="dxa"/>
            <w:vMerge w:val="restart"/>
            <w:vAlign w:val="center"/>
          </w:tcPr>
          <w:p w14:paraId="1BB10969">
            <w:pPr>
              <w:spacing w:after="0" w:line="240" w:lineRule="auto"/>
              <w:rPr>
                <w:rFonts w:ascii="Times New Roman" w:hAnsi="Times New Roman"/>
                <w:szCs w:val="24"/>
              </w:rPr>
            </w:pPr>
            <w:r>
              <w:rPr>
                <w:rFonts w:ascii="Times New Roman" w:hAnsi="Times New Roman"/>
                <w:b/>
                <w:szCs w:val="24"/>
              </w:rPr>
              <w:t>Aspect</w:t>
            </w:r>
          </w:p>
        </w:tc>
        <w:tc>
          <w:tcPr>
            <w:tcW w:w="2589" w:type="dxa"/>
            <w:vMerge w:val="restart"/>
            <w:vAlign w:val="center"/>
          </w:tcPr>
          <w:p w14:paraId="71C2D37D">
            <w:pPr>
              <w:spacing w:after="0" w:line="240" w:lineRule="auto"/>
              <w:rPr>
                <w:rFonts w:ascii="Times New Roman" w:hAnsi="Times New Roman"/>
                <w:b/>
                <w:szCs w:val="24"/>
              </w:rPr>
            </w:pPr>
            <w:r>
              <w:rPr>
                <w:rFonts w:ascii="Times New Roman" w:hAnsi="Times New Roman"/>
                <w:b/>
                <w:szCs w:val="24"/>
              </w:rPr>
              <w:t xml:space="preserve">Predicted Impact </w:t>
            </w:r>
          </w:p>
          <w:p w14:paraId="5A385426">
            <w:pPr>
              <w:spacing w:after="0" w:line="240" w:lineRule="auto"/>
              <w:rPr>
                <w:rFonts w:ascii="Times New Roman" w:hAnsi="Times New Roman"/>
                <w:szCs w:val="24"/>
              </w:rPr>
            </w:pPr>
            <w:r>
              <w:rPr>
                <w:rFonts w:ascii="Times New Roman" w:hAnsi="Times New Roman"/>
                <w:b/>
                <w:szCs w:val="24"/>
              </w:rPr>
              <w:t>(Operation Phase)</w:t>
            </w:r>
          </w:p>
        </w:tc>
        <w:tc>
          <w:tcPr>
            <w:tcW w:w="12155" w:type="dxa"/>
            <w:gridSpan w:val="12"/>
          </w:tcPr>
          <w:p w14:paraId="3E012BD1">
            <w:pPr>
              <w:spacing w:after="0" w:line="240" w:lineRule="auto"/>
              <w:jc w:val="center"/>
              <w:rPr>
                <w:rFonts w:ascii="Times New Roman" w:hAnsi="Times New Roman"/>
                <w:szCs w:val="24"/>
              </w:rPr>
            </w:pPr>
            <w:r>
              <w:rPr>
                <w:rFonts w:ascii="Times New Roman" w:hAnsi="Times New Roman"/>
                <w:b/>
                <w:szCs w:val="24"/>
              </w:rPr>
              <w:t>Characterization of Impacts</w:t>
            </w:r>
          </w:p>
        </w:tc>
      </w:tr>
      <w:tr w14:paraId="6598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rPr>
        <w:tc>
          <w:tcPr>
            <w:tcW w:w="1276" w:type="dxa"/>
            <w:vMerge w:val="continue"/>
            <w:vAlign w:val="center"/>
          </w:tcPr>
          <w:p w14:paraId="29BD2D51">
            <w:pPr>
              <w:spacing w:after="0" w:line="240" w:lineRule="auto"/>
              <w:rPr>
                <w:rFonts w:ascii="Times New Roman" w:hAnsi="Times New Roman"/>
                <w:szCs w:val="24"/>
              </w:rPr>
            </w:pPr>
          </w:p>
        </w:tc>
        <w:tc>
          <w:tcPr>
            <w:tcW w:w="2589" w:type="dxa"/>
            <w:vMerge w:val="continue"/>
            <w:vAlign w:val="center"/>
          </w:tcPr>
          <w:p w14:paraId="59803E10">
            <w:pPr>
              <w:spacing w:after="0" w:line="240" w:lineRule="auto"/>
              <w:rPr>
                <w:rFonts w:ascii="Times New Roman" w:hAnsi="Times New Roman"/>
                <w:szCs w:val="24"/>
              </w:rPr>
            </w:pPr>
          </w:p>
        </w:tc>
        <w:tc>
          <w:tcPr>
            <w:tcW w:w="3510" w:type="dxa"/>
            <w:gridSpan w:val="3"/>
          </w:tcPr>
          <w:p w14:paraId="27D9CA26">
            <w:pPr>
              <w:spacing w:after="0" w:line="240" w:lineRule="auto"/>
              <w:jc w:val="center"/>
              <w:rPr>
                <w:rFonts w:ascii="Times New Roman" w:hAnsi="Times New Roman"/>
                <w:b/>
                <w:szCs w:val="24"/>
              </w:rPr>
            </w:pPr>
            <w:r>
              <w:rPr>
                <w:rFonts w:ascii="Times New Roman" w:hAnsi="Times New Roman"/>
                <w:b/>
                <w:szCs w:val="24"/>
              </w:rPr>
              <w:t>Impact</w:t>
            </w:r>
          </w:p>
        </w:tc>
        <w:tc>
          <w:tcPr>
            <w:tcW w:w="2075" w:type="dxa"/>
            <w:gridSpan w:val="2"/>
            <w:vAlign w:val="center"/>
          </w:tcPr>
          <w:p w14:paraId="692CE194">
            <w:pPr>
              <w:spacing w:after="0" w:line="240" w:lineRule="auto"/>
              <w:jc w:val="center"/>
              <w:rPr>
                <w:rFonts w:ascii="Times New Roman" w:hAnsi="Times New Roman"/>
                <w:szCs w:val="24"/>
              </w:rPr>
            </w:pPr>
            <w:r>
              <w:rPr>
                <w:rFonts w:ascii="Times New Roman" w:hAnsi="Times New Roman"/>
                <w:b/>
                <w:szCs w:val="24"/>
              </w:rPr>
              <w:t>Nature</w:t>
            </w:r>
          </w:p>
        </w:tc>
        <w:tc>
          <w:tcPr>
            <w:tcW w:w="1980" w:type="dxa"/>
            <w:gridSpan w:val="2"/>
            <w:vAlign w:val="center"/>
          </w:tcPr>
          <w:p w14:paraId="79D6D96E">
            <w:pPr>
              <w:spacing w:after="0" w:line="240" w:lineRule="auto"/>
              <w:jc w:val="center"/>
              <w:rPr>
                <w:rFonts w:ascii="Times New Roman" w:hAnsi="Times New Roman"/>
                <w:szCs w:val="24"/>
              </w:rPr>
            </w:pPr>
            <w:r>
              <w:rPr>
                <w:rFonts w:ascii="Times New Roman" w:hAnsi="Times New Roman"/>
                <w:b/>
                <w:szCs w:val="24"/>
              </w:rPr>
              <w:t>Effect</w:t>
            </w:r>
          </w:p>
        </w:tc>
        <w:tc>
          <w:tcPr>
            <w:tcW w:w="2880" w:type="dxa"/>
            <w:gridSpan w:val="3"/>
            <w:vAlign w:val="center"/>
          </w:tcPr>
          <w:p w14:paraId="42605C07">
            <w:pPr>
              <w:spacing w:after="0" w:line="240" w:lineRule="auto"/>
              <w:jc w:val="center"/>
              <w:rPr>
                <w:rFonts w:ascii="Times New Roman" w:hAnsi="Times New Roman"/>
                <w:szCs w:val="24"/>
              </w:rPr>
            </w:pPr>
            <w:r>
              <w:rPr>
                <w:rFonts w:ascii="Times New Roman" w:hAnsi="Times New Roman"/>
                <w:b/>
                <w:szCs w:val="24"/>
              </w:rPr>
              <w:t>Time Range</w:t>
            </w:r>
          </w:p>
        </w:tc>
        <w:tc>
          <w:tcPr>
            <w:tcW w:w="1710" w:type="dxa"/>
            <w:gridSpan w:val="2"/>
            <w:vAlign w:val="center"/>
          </w:tcPr>
          <w:p w14:paraId="05B7572E">
            <w:pPr>
              <w:spacing w:after="0" w:line="240" w:lineRule="auto"/>
              <w:jc w:val="center"/>
              <w:rPr>
                <w:rFonts w:ascii="Times New Roman" w:hAnsi="Times New Roman"/>
                <w:szCs w:val="24"/>
              </w:rPr>
            </w:pPr>
            <w:r>
              <w:rPr>
                <w:rFonts w:ascii="Times New Roman" w:hAnsi="Times New Roman"/>
                <w:b/>
                <w:szCs w:val="24"/>
              </w:rPr>
              <w:t>Reversibility</w:t>
            </w:r>
          </w:p>
        </w:tc>
      </w:tr>
      <w:tr w14:paraId="59E7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blHeader/>
        </w:trPr>
        <w:tc>
          <w:tcPr>
            <w:tcW w:w="1276" w:type="dxa"/>
            <w:vMerge w:val="continue"/>
            <w:vAlign w:val="center"/>
          </w:tcPr>
          <w:p w14:paraId="1D4F0ED3">
            <w:pPr>
              <w:spacing w:after="0" w:line="240" w:lineRule="auto"/>
              <w:rPr>
                <w:rFonts w:ascii="Times New Roman" w:hAnsi="Times New Roman"/>
                <w:b/>
                <w:szCs w:val="24"/>
              </w:rPr>
            </w:pPr>
          </w:p>
        </w:tc>
        <w:tc>
          <w:tcPr>
            <w:tcW w:w="2589" w:type="dxa"/>
            <w:vMerge w:val="continue"/>
            <w:vAlign w:val="center"/>
          </w:tcPr>
          <w:p w14:paraId="7CF8747D">
            <w:pPr>
              <w:spacing w:after="0" w:line="240" w:lineRule="auto"/>
              <w:rPr>
                <w:rFonts w:ascii="Times New Roman" w:hAnsi="Times New Roman"/>
                <w:b/>
                <w:szCs w:val="24"/>
              </w:rPr>
            </w:pPr>
          </w:p>
        </w:tc>
        <w:tc>
          <w:tcPr>
            <w:tcW w:w="1170" w:type="dxa"/>
          </w:tcPr>
          <w:p w14:paraId="6299D652">
            <w:pPr>
              <w:spacing w:after="0" w:line="240" w:lineRule="auto"/>
              <w:rPr>
                <w:rFonts w:ascii="Times New Roman" w:hAnsi="Times New Roman"/>
                <w:b/>
                <w:szCs w:val="24"/>
              </w:rPr>
            </w:pPr>
            <w:r>
              <w:rPr>
                <w:rFonts w:ascii="Times New Roman" w:hAnsi="Times New Roman"/>
                <w:b/>
                <w:szCs w:val="24"/>
              </w:rPr>
              <w:t>High</w:t>
            </w:r>
          </w:p>
        </w:tc>
        <w:tc>
          <w:tcPr>
            <w:tcW w:w="1170" w:type="dxa"/>
          </w:tcPr>
          <w:p w14:paraId="42BFEBD2">
            <w:pPr>
              <w:spacing w:after="0" w:line="240" w:lineRule="auto"/>
              <w:rPr>
                <w:rFonts w:ascii="Times New Roman" w:hAnsi="Times New Roman"/>
                <w:b/>
                <w:szCs w:val="24"/>
              </w:rPr>
            </w:pPr>
            <w:r>
              <w:rPr>
                <w:rFonts w:ascii="Times New Roman" w:hAnsi="Times New Roman"/>
                <w:b/>
                <w:szCs w:val="24"/>
              </w:rPr>
              <w:t>Medium</w:t>
            </w:r>
          </w:p>
        </w:tc>
        <w:tc>
          <w:tcPr>
            <w:tcW w:w="1170" w:type="dxa"/>
          </w:tcPr>
          <w:p w14:paraId="57C69D92">
            <w:pPr>
              <w:spacing w:after="0" w:line="240" w:lineRule="auto"/>
              <w:rPr>
                <w:rFonts w:ascii="Times New Roman" w:hAnsi="Times New Roman"/>
                <w:b/>
                <w:szCs w:val="24"/>
              </w:rPr>
            </w:pPr>
            <w:r>
              <w:rPr>
                <w:rFonts w:ascii="Times New Roman" w:hAnsi="Times New Roman"/>
                <w:b/>
                <w:szCs w:val="24"/>
              </w:rPr>
              <w:t>Low</w:t>
            </w:r>
          </w:p>
        </w:tc>
        <w:tc>
          <w:tcPr>
            <w:tcW w:w="995" w:type="dxa"/>
            <w:vAlign w:val="center"/>
          </w:tcPr>
          <w:p w14:paraId="7997D269">
            <w:pPr>
              <w:spacing w:after="0" w:line="240" w:lineRule="auto"/>
              <w:rPr>
                <w:rFonts w:ascii="Times New Roman" w:hAnsi="Times New Roman"/>
                <w:b/>
                <w:szCs w:val="24"/>
              </w:rPr>
            </w:pPr>
            <w:r>
              <w:rPr>
                <w:rFonts w:ascii="Times New Roman" w:hAnsi="Times New Roman"/>
                <w:b/>
                <w:szCs w:val="24"/>
              </w:rPr>
              <w:t>Positive</w:t>
            </w:r>
          </w:p>
        </w:tc>
        <w:tc>
          <w:tcPr>
            <w:tcW w:w="1080" w:type="dxa"/>
            <w:vAlign w:val="center"/>
          </w:tcPr>
          <w:p w14:paraId="50700752">
            <w:pPr>
              <w:spacing w:after="0" w:line="240" w:lineRule="auto"/>
              <w:rPr>
                <w:rFonts w:ascii="Times New Roman" w:hAnsi="Times New Roman"/>
                <w:b/>
                <w:szCs w:val="24"/>
              </w:rPr>
            </w:pPr>
            <w:r>
              <w:rPr>
                <w:rFonts w:ascii="Times New Roman" w:hAnsi="Times New Roman"/>
                <w:b/>
                <w:szCs w:val="24"/>
              </w:rPr>
              <w:t>Negative</w:t>
            </w:r>
          </w:p>
        </w:tc>
        <w:tc>
          <w:tcPr>
            <w:tcW w:w="900" w:type="dxa"/>
            <w:vAlign w:val="center"/>
          </w:tcPr>
          <w:p w14:paraId="74D5B452">
            <w:pPr>
              <w:spacing w:after="0" w:line="240" w:lineRule="auto"/>
              <w:rPr>
                <w:rFonts w:ascii="Times New Roman" w:hAnsi="Times New Roman"/>
                <w:b/>
                <w:szCs w:val="24"/>
              </w:rPr>
            </w:pPr>
            <w:r>
              <w:rPr>
                <w:rFonts w:ascii="Times New Roman" w:hAnsi="Times New Roman"/>
                <w:b/>
                <w:szCs w:val="24"/>
              </w:rPr>
              <w:t>Direct</w:t>
            </w:r>
          </w:p>
        </w:tc>
        <w:tc>
          <w:tcPr>
            <w:tcW w:w="1080" w:type="dxa"/>
            <w:vAlign w:val="center"/>
          </w:tcPr>
          <w:p w14:paraId="45739E55">
            <w:pPr>
              <w:spacing w:after="0" w:line="240" w:lineRule="auto"/>
              <w:rPr>
                <w:rFonts w:ascii="Times New Roman" w:hAnsi="Times New Roman"/>
                <w:b/>
                <w:szCs w:val="24"/>
              </w:rPr>
            </w:pPr>
            <w:r>
              <w:rPr>
                <w:rFonts w:ascii="Times New Roman" w:hAnsi="Times New Roman"/>
                <w:b/>
                <w:szCs w:val="24"/>
              </w:rPr>
              <w:t>Indirect</w:t>
            </w:r>
          </w:p>
        </w:tc>
        <w:tc>
          <w:tcPr>
            <w:tcW w:w="900" w:type="dxa"/>
            <w:vAlign w:val="center"/>
          </w:tcPr>
          <w:p w14:paraId="7F8DF61F">
            <w:pPr>
              <w:spacing w:after="0" w:line="240" w:lineRule="auto"/>
              <w:rPr>
                <w:rFonts w:ascii="Times New Roman" w:hAnsi="Times New Roman"/>
                <w:b/>
                <w:szCs w:val="24"/>
              </w:rPr>
            </w:pPr>
            <w:r>
              <w:rPr>
                <w:rFonts w:ascii="Times New Roman" w:hAnsi="Times New Roman"/>
                <w:b/>
                <w:szCs w:val="24"/>
              </w:rPr>
              <w:t>Short Term</w:t>
            </w:r>
          </w:p>
        </w:tc>
        <w:tc>
          <w:tcPr>
            <w:tcW w:w="1160" w:type="dxa"/>
            <w:vAlign w:val="center"/>
          </w:tcPr>
          <w:p w14:paraId="0427FBE6">
            <w:pPr>
              <w:spacing w:after="0" w:line="240" w:lineRule="auto"/>
              <w:rPr>
                <w:rFonts w:ascii="Times New Roman" w:hAnsi="Times New Roman"/>
                <w:b/>
                <w:szCs w:val="24"/>
              </w:rPr>
            </w:pPr>
            <w:r>
              <w:rPr>
                <w:rFonts w:ascii="Times New Roman" w:hAnsi="Times New Roman"/>
                <w:b/>
                <w:szCs w:val="24"/>
              </w:rPr>
              <w:t>Medium Term</w:t>
            </w:r>
          </w:p>
        </w:tc>
        <w:tc>
          <w:tcPr>
            <w:tcW w:w="820" w:type="dxa"/>
            <w:vAlign w:val="center"/>
          </w:tcPr>
          <w:p w14:paraId="0CF76B1E">
            <w:pPr>
              <w:spacing w:after="0" w:line="240" w:lineRule="auto"/>
              <w:rPr>
                <w:rFonts w:ascii="Times New Roman" w:hAnsi="Times New Roman"/>
                <w:b/>
                <w:szCs w:val="24"/>
              </w:rPr>
            </w:pPr>
            <w:r>
              <w:rPr>
                <w:rFonts w:ascii="Times New Roman" w:hAnsi="Times New Roman"/>
                <w:b/>
                <w:szCs w:val="24"/>
              </w:rPr>
              <w:t>Long Term</w:t>
            </w:r>
          </w:p>
        </w:tc>
        <w:tc>
          <w:tcPr>
            <w:tcW w:w="810" w:type="dxa"/>
            <w:vAlign w:val="center"/>
          </w:tcPr>
          <w:p w14:paraId="0AD51918">
            <w:pPr>
              <w:spacing w:after="0" w:line="240" w:lineRule="auto"/>
              <w:rPr>
                <w:rFonts w:ascii="Times New Roman" w:hAnsi="Times New Roman"/>
                <w:b/>
                <w:szCs w:val="24"/>
              </w:rPr>
            </w:pPr>
            <w:r>
              <w:rPr>
                <w:rFonts w:ascii="Times New Roman" w:hAnsi="Times New Roman"/>
                <w:b/>
                <w:szCs w:val="24"/>
              </w:rPr>
              <w:t>Reversible</w:t>
            </w:r>
          </w:p>
        </w:tc>
        <w:tc>
          <w:tcPr>
            <w:tcW w:w="900" w:type="dxa"/>
            <w:vAlign w:val="center"/>
          </w:tcPr>
          <w:p w14:paraId="2C30743A">
            <w:pPr>
              <w:spacing w:after="0" w:line="240" w:lineRule="auto"/>
              <w:rPr>
                <w:rFonts w:ascii="Times New Roman" w:hAnsi="Times New Roman"/>
                <w:b/>
                <w:szCs w:val="24"/>
              </w:rPr>
            </w:pPr>
            <w:r>
              <w:rPr>
                <w:rFonts w:ascii="Times New Roman" w:hAnsi="Times New Roman"/>
                <w:b/>
                <w:szCs w:val="24"/>
              </w:rPr>
              <w:t>Irreversible</w:t>
            </w:r>
          </w:p>
        </w:tc>
      </w:tr>
      <w:tr w14:paraId="0A8F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blHeader/>
        </w:trPr>
        <w:tc>
          <w:tcPr>
            <w:tcW w:w="1276" w:type="dxa"/>
            <w:vAlign w:val="center"/>
          </w:tcPr>
          <w:p w14:paraId="27BDD75D">
            <w:pPr>
              <w:spacing w:after="0" w:line="240" w:lineRule="auto"/>
              <w:rPr>
                <w:rFonts w:ascii="Times New Roman" w:hAnsi="Times New Roman"/>
                <w:szCs w:val="24"/>
              </w:rPr>
            </w:pPr>
            <w:r>
              <w:rPr>
                <w:rFonts w:ascii="Times New Roman" w:hAnsi="Times New Roman"/>
                <w:szCs w:val="24"/>
              </w:rPr>
              <w:t>Air Pollution</w:t>
            </w:r>
          </w:p>
        </w:tc>
        <w:tc>
          <w:tcPr>
            <w:tcW w:w="2589" w:type="dxa"/>
            <w:vAlign w:val="center"/>
          </w:tcPr>
          <w:p w14:paraId="38FBC515">
            <w:pPr>
              <w:spacing w:after="0" w:line="240" w:lineRule="auto"/>
              <w:rPr>
                <w:rFonts w:ascii="Times New Roman" w:hAnsi="Times New Roman"/>
                <w:szCs w:val="24"/>
              </w:rPr>
            </w:pPr>
            <w:r>
              <w:rPr>
                <w:rFonts w:ascii="Times New Roman" w:hAnsi="Times New Roman"/>
                <w:szCs w:val="24"/>
              </w:rPr>
              <w:t>Increased particulate and gaseous pollutants</w:t>
            </w:r>
          </w:p>
        </w:tc>
        <w:tc>
          <w:tcPr>
            <w:tcW w:w="1170" w:type="dxa"/>
          </w:tcPr>
          <w:p w14:paraId="2DC4763F">
            <w:pPr>
              <w:spacing w:after="0" w:line="240" w:lineRule="auto"/>
              <w:jc w:val="center"/>
              <w:rPr>
                <w:rFonts w:ascii="Times New Roman" w:hAnsi="Times New Roman"/>
                <w:szCs w:val="24"/>
              </w:rPr>
            </w:pPr>
          </w:p>
        </w:tc>
        <w:tc>
          <w:tcPr>
            <w:tcW w:w="1170" w:type="dxa"/>
          </w:tcPr>
          <w:p w14:paraId="64F90A87">
            <w:pPr>
              <w:spacing w:after="0" w:line="240" w:lineRule="auto"/>
              <w:jc w:val="center"/>
              <w:rPr>
                <w:rFonts w:ascii="Times New Roman" w:hAnsi="Times New Roman"/>
                <w:szCs w:val="24"/>
              </w:rPr>
            </w:pPr>
            <w:r>
              <w:rPr>
                <w:rFonts w:ascii="Times New Roman" w:hAnsi="Times New Roman"/>
                <w:szCs w:val="24"/>
              </w:rPr>
              <w:t>X</w:t>
            </w:r>
          </w:p>
        </w:tc>
        <w:tc>
          <w:tcPr>
            <w:tcW w:w="1170" w:type="dxa"/>
          </w:tcPr>
          <w:p w14:paraId="4115CD5C">
            <w:pPr>
              <w:spacing w:after="0" w:line="240" w:lineRule="auto"/>
              <w:jc w:val="center"/>
              <w:rPr>
                <w:rFonts w:ascii="Times New Roman" w:hAnsi="Times New Roman"/>
                <w:szCs w:val="24"/>
              </w:rPr>
            </w:pPr>
          </w:p>
        </w:tc>
        <w:tc>
          <w:tcPr>
            <w:tcW w:w="995" w:type="dxa"/>
            <w:vAlign w:val="center"/>
          </w:tcPr>
          <w:p w14:paraId="7C7426F9">
            <w:pPr>
              <w:spacing w:after="0" w:line="240" w:lineRule="auto"/>
              <w:jc w:val="center"/>
              <w:rPr>
                <w:rFonts w:ascii="Times New Roman" w:hAnsi="Times New Roman"/>
                <w:szCs w:val="24"/>
              </w:rPr>
            </w:pPr>
          </w:p>
        </w:tc>
        <w:tc>
          <w:tcPr>
            <w:tcW w:w="1080" w:type="dxa"/>
            <w:vAlign w:val="center"/>
          </w:tcPr>
          <w:p w14:paraId="0F081585">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442E5AEB">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4162CDC6">
            <w:pPr>
              <w:spacing w:after="0" w:line="240" w:lineRule="auto"/>
              <w:jc w:val="center"/>
              <w:rPr>
                <w:rFonts w:ascii="Times New Roman" w:hAnsi="Times New Roman"/>
                <w:szCs w:val="24"/>
              </w:rPr>
            </w:pPr>
          </w:p>
        </w:tc>
        <w:tc>
          <w:tcPr>
            <w:tcW w:w="900" w:type="dxa"/>
            <w:vAlign w:val="center"/>
          </w:tcPr>
          <w:p w14:paraId="067D0E0F">
            <w:pPr>
              <w:spacing w:after="0" w:line="240" w:lineRule="auto"/>
              <w:jc w:val="center"/>
              <w:rPr>
                <w:rFonts w:ascii="Times New Roman" w:hAnsi="Times New Roman"/>
                <w:szCs w:val="24"/>
              </w:rPr>
            </w:pPr>
            <w:r>
              <w:rPr>
                <w:rFonts w:ascii="Times New Roman" w:hAnsi="Times New Roman"/>
                <w:szCs w:val="24"/>
              </w:rPr>
              <w:t>x</w:t>
            </w:r>
          </w:p>
        </w:tc>
        <w:tc>
          <w:tcPr>
            <w:tcW w:w="1160" w:type="dxa"/>
            <w:vAlign w:val="center"/>
          </w:tcPr>
          <w:p w14:paraId="069102DC">
            <w:pPr>
              <w:spacing w:after="0" w:line="240" w:lineRule="auto"/>
              <w:jc w:val="center"/>
              <w:rPr>
                <w:rFonts w:ascii="Times New Roman" w:hAnsi="Times New Roman"/>
                <w:szCs w:val="24"/>
              </w:rPr>
            </w:pPr>
          </w:p>
        </w:tc>
        <w:tc>
          <w:tcPr>
            <w:tcW w:w="820" w:type="dxa"/>
            <w:vAlign w:val="center"/>
          </w:tcPr>
          <w:p w14:paraId="04276840">
            <w:pPr>
              <w:spacing w:after="0" w:line="240" w:lineRule="auto"/>
              <w:jc w:val="center"/>
              <w:rPr>
                <w:rFonts w:ascii="Times New Roman" w:hAnsi="Times New Roman"/>
                <w:szCs w:val="24"/>
              </w:rPr>
            </w:pPr>
          </w:p>
        </w:tc>
        <w:tc>
          <w:tcPr>
            <w:tcW w:w="810" w:type="dxa"/>
            <w:vAlign w:val="center"/>
          </w:tcPr>
          <w:p w14:paraId="76D706CF">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322D2FCE">
            <w:pPr>
              <w:spacing w:after="0" w:line="240" w:lineRule="auto"/>
              <w:jc w:val="center"/>
              <w:rPr>
                <w:rFonts w:ascii="Times New Roman" w:hAnsi="Times New Roman"/>
                <w:szCs w:val="24"/>
              </w:rPr>
            </w:pPr>
          </w:p>
        </w:tc>
      </w:tr>
      <w:tr w14:paraId="1934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blHeader/>
        </w:trPr>
        <w:tc>
          <w:tcPr>
            <w:tcW w:w="1276" w:type="dxa"/>
            <w:vAlign w:val="center"/>
          </w:tcPr>
          <w:p w14:paraId="49ECF8DD">
            <w:pPr>
              <w:spacing w:after="0" w:line="240" w:lineRule="auto"/>
              <w:rPr>
                <w:rFonts w:ascii="Times New Roman" w:hAnsi="Times New Roman"/>
                <w:szCs w:val="24"/>
              </w:rPr>
            </w:pPr>
            <w:r>
              <w:rPr>
                <w:rFonts w:ascii="Times New Roman" w:hAnsi="Times New Roman"/>
                <w:szCs w:val="24"/>
              </w:rPr>
              <w:t>Mosquitos breeding</w:t>
            </w:r>
          </w:p>
        </w:tc>
        <w:tc>
          <w:tcPr>
            <w:tcW w:w="2589" w:type="dxa"/>
            <w:vAlign w:val="center"/>
          </w:tcPr>
          <w:p w14:paraId="231414C6">
            <w:pPr>
              <w:spacing w:after="0" w:line="240" w:lineRule="auto"/>
              <w:rPr>
                <w:rFonts w:ascii="Times New Roman" w:hAnsi="Times New Roman"/>
                <w:szCs w:val="24"/>
              </w:rPr>
            </w:pPr>
            <w:r>
              <w:rPr>
                <w:rFonts w:ascii="Times New Roman" w:hAnsi="Times New Roman"/>
                <w:szCs w:val="24"/>
              </w:rPr>
              <w:t>Possibility of disease transmission</w:t>
            </w:r>
          </w:p>
        </w:tc>
        <w:tc>
          <w:tcPr>
            <w:tcW w:w="1170" w:type="dxa"/>
          </w:tcPr>
          <w:p w14:paraId="546DA547">
            <w:pPr>
              <w:spacing w:after="0" w:line="240" w:lineRule="auto"/>
              <w:jc w:val="center"/>
              <w:rPr>
                <w:rFonts w:ascii="Times New Roman" w:hAnsi="Times New Roman"/>
                <w:szCs w:val="24"/>
              </w:rPr>
            </w:pPr>
          </w:p>
        </w:tc>
        <w:tc>
          <w:tcPr>
            <w:tcW w:w="1170" w:type="dxa"/>
          </w:tcPr>
          <w:p w14:paraId="0D6A7B39">
            <w:pPr>
              <w:spacing w:after="0" w:line="240" w:lineRule="auto"/>
              <w:jc w:val="center"/>
              <w:rPr>
                <w:rFonts w:ascii="Times New Roman" w:hAnsi="Times New Roman"/>
                <w:szCs w:val="24"/>
              </w:rPr>
            </w:pPr>
            <w:r>
              <w:rPr>
                <w:rFonts w:ascii="Times New Roman" w:hAnsi="Times New Roman"/>
                <w:szCs w:val="24"/>
              </w:rPr>
              <w:t>X</w:t>
            </w:r>
          </w:p>
        </w:tc>
        <w:tc>
          <w:tcPr>
            <w:tcW w:w="1170" w:type="dxa"/>
          </w:tcPr>
          <w:p w14:paraId="4905F8CC">
            <w:pPr>
              <w:spacing w:after="0" w:line="240" w:lineRule="auto"/>
              <w:jc w:val="center"/>
              <w:rPr>
                <w:rFonts w:ascii="Times New Roman" w:hAnsi="Times New Roman"/>
                <w:szCs w:val="24"/>
              </w:rPr>
            </w:pPr>
          </w:p>
        </w:tc>
        <w:tc>
          <w:tcPr>
            <w:tcW w:w="995" w:type="dxa"/>
            <w:vAlign w:val="center"/>
          </w:tcPr>
          <w:p w14:paraId="052681B4">
            <w:pPr>
              <w:spacing w:after="0" w:line="240" w:lineRule="auto"/>
              <w:jc w:val="center"/>
              <w:rPr>
                <w:rFonts w:ascii="Times New Roman" w:hAnsi="Times New Roman"/>
                <w:szCs w:val="24"/>
              </w:rPr>
            </w:pPr>
          </w:p>
        </w:tc>
        <w:tc>
          <w:tcPr>
            <w:tcW w:w="1080" w:type="dxa"/>
            <w:vAlign w:val="center"/>
          </w:tcPr>
          <w:p w14:paraId="314A96D5">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158924F3">
            <w:pPr>
              <w:spacing w:after="0" w:line="240" w:lineRule="auto"/>
              <w:jc w:val="center"/>
              <w:rPr>
                <w:rFonts w:ascii="Times New Roman" w:hAnsi="Times New Roman"/>
                <w:szCs w:val="24"/>
              </w:rPr>
            </w:pPr>
          </w:p>
        </w:tc>
        <w:tc>
          <w:tcPr>
            <w:tcW w:w="1080" w:type="dxa"/>
            <w:vAlign w:val="center"/>
          </w:tcPr>
          <w:p w14:paraId="495B4143">
            <w:pPr>
              <w:spacing w:after="0" w:line="240" w:lineRule="auto"/>
              <w:jc w:val="center"/>
              <w:rPr>
                <w:rFonts w:ascii="Times New Roman" w:hAnsi="Times New Roman"/>
                <w:szCs w:val="24"/>
              </w:rPr>
            </w:pPr>
          </w:p>
        </w:tc>
        <w:tc>
          <w:tcPr>
            <w:tcW w:w="900" w:type="dxa"/>
            <w:vAlign w:val="center"/>
          </w:tcPr>
          <w:p w14:paraId="4CE39004">
            <w:pPr>
              <w:spacing w:after="0" w:line="240" w:lineRule="auto"/>
              <w:jc w:val="center"/>
              <w:rPr>
                <w:rFonts w:ascii="Times New Roman" w:hAnsi="Times New Roman"/>
                <w:szCs w:val="24"/>
              </w:rPr>
            </w:pPr>
          </w:p>
        </w:tc>
        <w:tc>
          <w:tcPr>
            <w:tcW w:w="1160" w:type="dxa"/>
            <w:vAlign w:val="center"/>
          </w:tcPr>
          <w:p w14:paraId="5118B9C7">
            <w:pPr>
              <w:spacing w:after="0" w:line="240" w:lineRule="auto"/>
              <w:jc w:val="center"/>
              <w:rPr>
                <w:rFonts w:ascii="Times New Roman" w:hAnsi="Times New Roman"/>
                <w:szCs w:val="24"/>
              </w:rPr>
            </w:pPr>
          </w:p>
        </w:tc>
        <w:tc>
          <w:tcPr>
            <w:tcW w:w="820" w:type="dxa"/>
            <w:vAlign w:val="center"/>
          </w:tcPr>
          <w:p w14:paraId="3C9BD658">
            <w:pPr>
              <w:spacing w:after="0" w:line="240" w:lineRule="auto"/>
              <w:jc w:val="center"/>
              <w:rPr>
                <w:rFonts w:ascii="Times New Roman" w:hAnsi="Times New Roman"/>
                <w:szCs w:val="24"/>
              </w:rPr>
            </w:pPr>
            <w:r>
              <w:rPr>
                <w:rFonts w:ascii="Times New Roman" w:hAnsi="Times New Roman"/>
                <w:szCs w:val="24"/>
              </w:rPr>
              <w:t>X</w:t>
            </w:r>
          </w:p>
        </w:tc>
        <w:tc>
          <w:tcPr>
            <w:tcW w:w="810" w:type="dxa"/>
            <w:vAlign w:val="center"/>
          </w:tcPr>
          <w:p w14:paraId="417AB9A6">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1C30DA51">
            <w:pPr>
              <w:spacing w:after="0" w:line="240" w:lineRule="auto"/>
              <w:jc w:val="center"/>
              <w:rPr>
                <w:rFonts w:ascii="Times New Roman" w:hAnsi="Times New Roman"/>
                <w:szCs w:val="24"/>
              </w:rPr>
            </w:pPr>
          </w:p>
        </w:tc>
      </w:tr>
      <w:tr w14:paraId="497F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blHeader/>
        </w:trPr>
        <w:tc>
          <w:tcPr>
            <w:tcW w:w="1276" w:type="dxa"/>
            <w:vAlign w:val="center"/>
          </w:tcPr>
          <w:p w14:paraId="7DF2A451">
            <w:pPr>
              <w:spacing w:after="0" w:line="240" w:lineRule="auto"/>
              <w:rPr>
                <w:rFonts w:ascii="Times New Roman" w:hAnsi="Times New Roman"/>
                <w:szCs w:val="24"/>
              </w:rPr>
            </w:pPr>
            <w:r>
              <w:rPr>
                <w:rFonts w:ascii="Times New Roman" w:hAnsi="Times New Roman"/>
                <w:szCs w:val="24"/>
              </w:rPr>
              <w:t>Pollution of ground water sources</w:t>
            </w:r>
          </w:p>
        </w:tc>
        <w:tc>
          <w:tcPr>
            <w:tcW w:w="2589" w:type="dxa"/>
            <w:vAlign w:val="center"/>
          </w:tcPr>
          <w:p w14:paraId="6096B6F4">
            <w:pPr>
              <w:spacing w:after="0" w:line="240" w:lineRule="auto"/>
              <w:rPr>
                <w:rFonts w:ascii="Times New Roman" w:hAnsi="Times New Roman"/>
                <w:szCs w:val="24"/>
              </w:rPr>
            </w:pPr>
            <w:r>
              <w:rPr>
                <w:rFonts w:ascii="Times New Roman" w:hAnsi="Times New Roman"/>
                <w:szCs w:val="24"/>
              </w:rPr>
              <w:t>Pollution of water sources due to seepage</w:t>
            </w:r>
          </w:p>
        </w:tc>
        <w:tc>
          <w:tcPr>
            <w:tcW w:w="1170" w:type="dxa"/>
          </w:tcPr>
          <w:p w14:paraId="10F58E7A">
            <w:pPr>
              <w:spacing w:after="0" w:line="240" w:lineRule="auto"/>
              <w:jc w:val="center"/>
              <w:rPr>
                <w:rFonts w:ascii="Times New Roman" w:hAnsi="Times New Roman"/>
                <w:szCs w:val="24"/>
              </w:rPr>
            </w:pPr>
            <w:r>
              <w:rPr>
                <w:rFonts w:ascii="Times New Roman" w:hAnsi="Times New Roman"/>
                <w:szCs w:val="24"/>
              </w:rPr>
              <w:t>X</w:t>
            </w:r>
          </w:p>
        </w:tc>
        <w:tc>
          <w:tcPr>
            <w:tcW w:w="1170" w:type="dxa"/>
          </w:tcPr>
          <w:p w14:paraId="37679E03">
            <w:pPr>
              <w:spacing w:after="0" w:line="240" w:lineRule="auto"/>
              <w:jc w:val="center"/>
              <w:rPr>
                <w:rFonts w:ascii="Times New Roman" w:hAnsi="Times New Roman"/>
                <w:szCs w:val="24"/>
              </w:rPr>
            </w:pPr>
          </w:p>
        </w:tc>
        <w:tc>
          <w:tcPr>
            <w:tcW w:w="1170" w:type="dxa"/>
          </w:tcPr>
          <w:p w14:paraId="1D259BB4">
            <w:pPr>
              <w:spacing w:after="0" w:line="240" w:lineRule="auto"/>
              <w:jc w:val="center"/>
              <w:rPr>
                <w:rFonts w:ascii="Times New Roman" w:hAnsi="Times New Roman"/>
                <w:szCs w:val="24"/>
              </w:rPr>
            </w:pPr>
          </w:p>
        </w:tc>
        <w:tc>
          <w:tcPr>
            <w:tcW w:w="995" w:type="dxa"/>
            <w:vAlign w:val="center"/>
          </w:tcPr>
          <w:p w14:paraId="46D30E39">
            <w:pPr>
              <w:spacing w:after="0" w:line="240" w:lineRule="auto"/>
              <w:jc w:val="center"/>
              <w:rPr>
                <w:rFonts w:ascii="Times New Roman" w:hAnsi="Times New Roman"/>
                <w:szCs w:val="24"/>
              </w:rPr>
            </w:pPr>
          </w:p>
        </w:tc>
        <w:tc>
          <w:tcPr>
            <w:tcW w:w="1080" w:type="dxa"/>
            <w:vAlign w:val="center"/>
          </w:tcPr>
          <w:p w14:paraId="29D585A3">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7F748B63">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3514589D">
            <w:pPr>
              <w:spacing w:after="0" w:line="240" w:lineRule="auto"/>
              <w:jc w:val="center"/>
              <w:rPr>
                <w:rFonts w:ascii="Times New Roman" w:hAnsi="Times New Roman"/>
                <w:szCs w:val="24"/>
              </w:rPr>
            </w:pPr>
          </w:p>
        </w:tc>
        <w:tc>
          <w:tcPr>
            <w:tcW w:w="900" w:type="dxa"/>
            <w:vAlign w:val="center"/>
          </w:tcPr>
          <w:p w14:paraId="68985E6B">
            <w:pPr>
              <w:spacing w:after="0" w:line="240" w:lineRule="auto"/>
              <w:jc w:val="center"/>
              <w:rPr>
                <w:rFonts w:ascii="Times New Roman" w:hAnsi="Times New Roman"/>
                <w:szCs w:val="24"/>
              </w:rPr>
            </w:pPr>
          </w:p>
        </w:tc>
        <w:tc>
          <w:tcPr>
            <w:tcW w:w="1160" w:type="dxa"/>
            <w:vAlign w:val="center"/>
          </w:tcPr>
          <w:p w14:paraId="386B117A">
            <w:pPr>
              <w:spacing w:after="0" w:line="240" w:lineRule="auto"/>
              <w:jc w:val="center"/>
              <w:rPr>
                <w:rFonts w:ascii="Times New Roman" w:hAnsi="Times New Roman"/>
                <w:szCs w:val="24"/>
              </w:rPr>
            </w:pPr>
          </w:p>
        </w:tc>
        <w:tc>
          <w:tcPr>
            <w:tcW w:w="820" w:type="dxa"/>
            <w:vAlign w:val="center"/>
          </w:tcPr>
          <w:p w14:paraId="7E8A50A8">
            <w:pPr>
              <w:spacing w:after="0" w:line="240" w:lineRule="auto"/>
              <w:jc w:val="center"/>
              <w:rPr>
                <w:rFonts w:ascii="Times New Roman" w:hAnsi="Times New Roman"/>
                <w:szCs w:val="24"/>
              </w:rPr>
            </w:pPr>
            <w:r>
              <w:rPr>
                <w:rFonts w:ascii="Times New Roman" w:hAnsi="Times New Roman"/>
                <w:szCs w:val="24"/>
              </w:rPr>
              <w:t>X</w:t>
            </w:r>
          </w:p>
        </w:tc>
        <w:tc>
          <w:tcPr>
            <w:tcW w:w="810" w:type="dxa"/>
            <w:vAlign w:val="center"/>
          </w:tcPr>
          <w:p w14:paraId="1B4526FC">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46F53F07">
            <w:pPr>
              <w:spacing w:after="0" w:line="240" w:lineRule="auto"/>
              <w:jc w:val="center"/>
              <w:rPr>
                <w:rFonts w:ascii="Times New Roman" w:hAnsi="Times New Roman"/>
                <w:szCs w:val="24"/>
              </w:rPr>
            </w:pPr>
          </w:p>
        </w:tc>
      </w:tr>
      <w:tr w14:paraId="4613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blHeader/>
        </w:trPr>
        <w:tc>
          <w:tcPr>
            <w:tcW w:w="1276" w:type="dxa"/>
          </w:tcPr>
          <w:p w14:paraId="47D61555">
            <w:pPr>
              <w:spacing w:after="0" w:line="240" w:lineRule="auto"/>
              <w:rPr>
                <w:rFonts w:ascii="Times New Roman" w:hAnsi="Times New Roman"/>
                <w:szCs w:val="24"/>
              </w:rPr>
            </w:pPr>
            <w:r>
              <w:rPr>
                <w:rFonts w:ascii="Times New Roman" w:hAnsi="Times New Roman"/>
                <w:szCs w:val="24"/>
              </w:rPr>
              <w:t>Health &amp; Safety</w:t>
            </w:r>
          </w:p>
        </w:tc>
        <w:tc>
          <w:tcPr>
            <w:tcW w:w="2589" w:type="dxa"/>
          </w:tcPr>
          <w:p w14:paraId="7AFD347E">
            <w:pPr>
              <w:pStyle w:val="32"/>
              <w:numPr>
                <w:ilvl w:val="0"/>
                <w:numId w:val="47"/>
              </w:numPr>
              <w:spacing w:after="0" w:line="240" w:lineRule="auto"/>
              <w:rPr>
                <w:rFonts w:ascii="Times New Roman" w:hAnsi="Times New Roman"/>
                <w:szCs w:val="24"/>
              </w:rPr>
            </w:pPr>
            <w:r>
              <w:rPr>
                <w:rFonts w:ascii="Times New Roman" w:hAnsi="Times New Roman"/>
                <w:szCs w:val="24"/>
              </w:rPr>
              <w:t>Operation related health and safety risks for workers and public,</w:t>
            </w:r>
          </w:p>
          <w:p w14:paraId="5ED3C513">
            <w:pPr>
              <w:pStyle w:val="32"/>
              <w:numPr>
                <w:ilvl w:val="0"/>
                <w:numId w:val="47"/>
              </w:numPr>
              <w:spacing w:after="0" w:line="240" w:lineRule="auto"/>
              <w:rPr>
                <w:rFonts w:ascii="Times New Roman" w:hAnsi="Times New Roman"/>
                <w:szCs w:val="24"/>
              </w:rPr>
            </w:pPr>
            <w:r>
              <w:rPr>
                <w:rFonts w:ascii="Times New Roman" w:hAnsi="Times New Roman"/>
                <w:szCs w:val="24"/>
              </w:rPr>
              <w:t>Spillage of sewage during exhaustion while full</w:t>
            </w:r>
          </w:p>
          <w:p w14:paraId="7D3C5B1E">
            <w:pPr>
              <w:spacing w:after="0" w:line="240" w:lineRule="auto"/>
              <w:rPr>
                <w:rFonts w:ascii="Times New Roman" w:hAnsi="Times New Roman"/>
                <w:szCs w:val="24"/>
              </w:rPr>
            </w:pPr>
          </w:p>
          <w:p w14:paraId="0F807959">
            <w:pPr>
              <w:spacing w:after="0" w:line="240" w:lineRule="auto"/>
              <w:rPr>
                <w:rFonts w:ascii="Times New Roman" w:hAnsi="Times New Roman"/>
                <w:szCs w:val="24"/>
              </w:rPr>
            </w:pPr>
          </w:p>
        </w:tc>
        <w:tc>
          <w:tcPr>
            <w:tcW w:w="1170" w:type="dxa"/>
          </w:tcPr>
          <w:p w14:paraId="4EBC1117">
            <w:pPr>
              <w:spacing w:after="0" w:line="240" w:lineRule="auto"/>
              <w:jc w:val="center"/>
              <w:rPr>
                <w:rFonts w:ascii="Times New Roman" w:hAnsi="Times New Roman"/>
                <w:szCs w:val="24"/>
              </w:rPr>
            </w:pPr>
            <w:r>
              <w:rPr>
                <w:rFonts w:ascii="Times New Roman" w:hAnsi="Times New Roman"/>
                <w:szCs w:val="24"/>
              </w:rPr>
              <w:t>x</w:t>
            </w:r>
          </w:p>
        </w:tc>
        <w:tc>
          <w:tcPr>
            <w:tcW w:w="1170" w:type="dxa"/>
          </w:tcPr>
          <w:p w14:paraId="1FE87D51">
            <w:pPr>
              <w:spacing w:after="0" w:line="240" w:lineRule="auto"/>
              <w:jc w:val="center"/>
              <w:rPr>
                <w:rFonts w:ascii="Times New Roman" w:hAnsi="Times New Roman"/>
                <w:szCs w:val="24"/>
              </w:rPr>
            </w:pPr>
          </w:p>
        </w:tc>
        <w:tc>
          <w:tcPr>
            <w:tcW w:w="1170" w:type="dxa"/>
          </w:tcPr>
          <w:p w14:paraId="351C5DB9">
            <w:pPr>
              <w:spacing w:after="0" w:line="240" w:lineRule="auto"/>
              <w:jc w:val="center"/>
              <w:rPr>
                <w:rFonts w:ascii="Times New Roman" w:hAnsi="Times New Roman"/>
                <w:szCs w:val="24"/>
              </w:rPr>
            </w:pPr>
          </w:p>
        </w:tc>
        <w:tc>
          <w:tcPr>
            <w:tcW w:w="995" w:type="dxa"/>
            <w:vAlign w:val="center"/>
          </w:tcPr>
          <w:p w14:paraId="1C445F1F">
            <w:pPr>
              <w:spacing w:after="0" w:line="240" w:lineRule="auto"/>
              <w:jc w:val="center"/>
              <w:rPr>
                <w:rFonts w:ascii="Times New Roman" w:hAnsi="Times New Roman"/>
                <w:szCs w:val="24"/>
              </w:rPr>
            </w:pPr>
          </w:p>
        </w:tc>
        <w:tc>
          <w:tcPr>
            <w:tcW w:w="1080" w:type="dxa"/>
            <w:vAlign w:val="center"/>
          </w:tcPr>
          <w:p w14:paraId="0601E4BC">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11B0A3D1">
            <w:pPr>
              <w:spacing w:after="0" w:line="240" w:lineRule="auto"/>
              <w:jc w:val="center"/>
              <w:rPr>
                <w:rFonts w:ascii="Times New Roman" w:hAnsi="Times New Roman"/>
                <w:szCs w:val="24"/>
              </w:rPr>
            </w:pPr>
            <w:r>
              <w:rPr>
                <w:rFonts w:ascii="Times New Roman" w:hAnsi="Times New Roman"/>
                <w:szCs w:val="24"/>
              </w:rPr>
              <w:t>x</w:t>
            </w:r>
          </w:p>
        </w:tc>
        <w:tc>
          <w:tcPr>
            <w:tcW w:w="1080" w:type="dxa"/>
            <w:vAlign w:val="center"/>
          </w:tcPr>
          <w:p w14:paraId="40894026">
            <w:pPr>
              <w:spacing w:after="0" w:line="240" w:lineRule="auto"/>
              <w:jc w:val="center"/>
              <w:rPr>
                <w:rFonts w:ascii="Times New Roman" w:hAnsi="Times New Roman"/>
                <w:szCs w:val="24"/>
              </w:rPr>
            </w:pPr>
          </w:p>
        </w:tc>
        <w:tc>
          <w:tcPr>
            <w:tcW w:w="900" w:type="dxa"/>
            <w:vAlign w:val="center"/>
          </w:tcPr>
          <w:p w14:paraId="6C6EC69F">
            <w:pPr>
              <w:spacing w:after="0" w:line="240" w:lineRule="auto"/>
              <w:jc w:val="center"/>
              <w:rPr>
                <w:rFonts w:ascii="Times New Roman" w:hAnsi="Times New Roman"/>
                <w:szCs w:val="24"/>
              </w:rPr>
            </w:pPr>
            <w:r>
              <w:rPr>
                <w:rFonts w:ascii="Times New Roman" w:hAnsi="Times New Roman"/>
                <w:szCs w:val="24"/>
              </w:rPr>
              <w:t>x</w:t>
            </w:r>
          </w:p>
        </w:tc>
        <w:tc>
          <w:tcPr>
            <w:tcW w:w="1160" w:type="dxa"/>
            <w:vAlign w:val="center"/>
          </w:tcPr>
          <w:p w14:paraId="70C6B347">
            <w:pPr>
              <w:spacing w:after="0" w:line="240" w:lineRule="auto"/>
              <w:jc w:val="center"/>
              <w:rPr>
                <w:rFonts w:ascii="Times New Roman" w:hAnsi="Times New Roman"/>
                <w:szCs w:val="24"/>
              </w:rPr>
            </w:pPr>
          </w:p>
        </w:tc>
        <w:tc>
          <w:tcPr>
            <w:tcW w:w="820" w:type="dxa"/>
            <w:vAlign w:val="center"/>
          </w:tcPr>
          <w:p w14:paraId="11D88BD4">
            <w:pPr>
              <w:spacing w:after="0" w:line="240" w:lineRule="auto"/>
              <w:jc w:val="center"/>
              <w:rPr>
                <w:rFonts w:ascii="Times New Roman" w:hAnsi="Times New Roman"/>
                <w:szCs w:val="24"/>
              </w:rPr>
            </w:pPr>
          </w:p>
        </w:tc>
        <w:tc>
          <w:tcPr>
            <w:tcW w:w="810" w:type="dxa"/>
            <w:vAlign w:val="center"/>
          </w:tcPr>
          <w:p w14:paraId="3B79002F">
            <w:pPr>
              <w:spacing w:after="0" w:line="240" w:lineRule="auto"/>
              <w:jc w:val="center"/>
              <w:rPr>
                <w:rFonts w:ascii="Times New Roman" w:hAnsi="Times New Roman"/>
                <w:szCs w:val="24"/>
              </w:rPr>
            </w:pPr>
            <w:r>
              <w:rPr>
                <w:rFonts w:ascii="Times New Roman" w:hAnsi="Times New Roman"/>
                <w:szCs w:val="24"/>
              </w:rPr>
              <w:t>x</w:t>
            </w:r>
          </w:p>
        </w:tc>
        <w:tc>
          <w:tcPr>
            <w:tcW w:w="900" w:type="dxa"/>
            <w:vAlign w:val="center"/>
          </w:tcPr>
          <w:p w14:paraId="2C08DF72">
            <w:pPr>
              <w:spacing w:after="0" w:line="240" w:lineRule="auto"/>
              <w:jc w:val="center"/>
              <w:rPr>
                <w:rFonts w:ascii="Times New Roman" w:hAnsi="Times New Roman"/>
                <w:szCs w:val="24"/>
              </w:rPr>
            </w:pPr>
          </w:p>
          <w:p w14:paraId="6B70E01E">
            <w:pPr>
              <w:spacing w:after="0" w:line="240" w:lineRule="auto"/>
              <w:jc w:val="center"/>
              <w:rPr>
                <w:rFonts w:ascii="Times New Roman" w:hAnsi="Times New Roman"/>
                <w:szCs w:val="24"/>
              </w:rPr>
            </w:pPr>
          </w:p>
          <w:p w14:paraId="6452D895">
            <w:pPr>
              <w:spacing w:after="0" w:line="240" w:lineRule="auto"/>
              <w:jc w:val="center"/>
              <w:rPr>
                <w:rFonts w:ascii="Times New Roman" w:hAnsi="Times New Roman"/>
                <w:szCs w:val="24"/>
              </w:rPr>
            </w:pPr>
          </w:p>
          <w:p w14:paraId="594BA55E">
            <w:pPr>
              <w:spacing w:after="0" w:line="240" w:lineRule="auto"/>
              <w:jc w:val="center"/>
              <w:rPr>
                <w:rFonts w:ascii="Times New Roman" w:hAnsi="Times New Roman"/>
                <w:szCs w:val="24"/>
              </w:rPr>
            </w:pPr>
          </w:p>
        </w:tc>
      </w:tr>
      <w:tr w14:paraId="2EA8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blHeader/>
        </w:trPr>
        <w:tc>
          <w:tcPr>
            <w:tcW w:w="1276" w:type="dxa"/>
            <w:tcBorders>
              <w:top w:val="single" w:color="auto" w:sz="4" w:space="0"/>
              <w:left w:val="single" w:color="auto" w:sz="4" w:space="0"/>
              <w:bottom w:val="single" w:color="auto" w:sz="4" w:space="0"/>
              <w:right w:val="single" w:color="auto" w:sz="4" w:space="0"/>
            </w:tcBorders>
          </w:tcPr>
          <w:p w14:paraId="0596A579">
            <w:pPr>
              <w:spacing w:after="0" w:line="240" w:lineRule="auto"/>
              <w:rPr>
                <w:rFonts w:ascii="Times New Roman" w:hAnsi="Times New Roman"/>
                <w:szCs w:val="24"/>
              </w:rPr>
            </w:pPr>
            <w:r>
              <w:rPr>
                <w:rFonts w:ascii="Times New Roman" w:hAnsi="Times New Roman"/>
                <w:szCs w:val="24"/>
              </w:rPr>
              <w:t>Health &amp;</w:t>
            </w:r>
          </w:p>
          <w:p w14:paraId="7F56B7D1">
            <w:pPr>
              <w:spacing w:after="0" w:line="240" w:lineRule="auto"/>
              <w:rPr>
                <w:rFonts w:ascii="Times New Roman" w:hAnsi="Times New Roman"/>
                <w:szCs w:val="24"/>
              </w:rPr>
            </w:pPr>
            <w:r>
              <w:rPr>
                <w:rFonts w:ascii="Times New Roman" w:hAnsi="Times New Roman"/>
                <w:szCs w:val="24"/>
              </w:rPr>
              <w:t>Safety</w:t>
            </w:r>
          </w:p>
        </w:tc>
        <w:tc>
          <w:tcPr>
            <w:tcW w:w="2589" w:type="dxa"/>
            <w:tcBorders>
              <w:top w:val="single" w:color="auto" w:sz="4" w:space="0"/>
              <w:left w:val="single" w:color="auto" w:sz="4" w:space="0"/>
              <w:bottom w:val="single" w:color="auto" w:sz="4" w:space="0"/>
              <w:right w:val="single" w:color="auto" w:sz="4" w:space="0"/>
            </w:tcBorders>
          </w:tcPr>
          <w:p w14:paraId="3CD6DB37">
            <w:pPr>
              <w:spacing w:after="0" w:line="240" w:lineRule="auto"/>
              <w:rPr>
                <w:rFonts w:ascii="Times New Roman" w:hAnsi="Times New Roman"/>
                <w:szCs w:val="24"/>
              </w:rPr>
            </w:pPr>
            <w:r>
              <w:rPr>
                <w:rFonts w:ascii="Times New Roman" w:hAnsi="Times New Roman"/>
                <w:szCs w:val="24"/>
              </w:rPr>
              <w:t xml:space="preserve">Improvement in public health and sanitation through reduced pollution of the seasonal rivers </w:t>
            </w:r>
          </w:p>
        </w:tc>
        <w:tc>
          <w:tcPr>
            <w:tcW w:w="1170" w:type="dxa"/>
            <w:tcBorders>
              <w:top w:val="single" w:color="auto" w:sz="4" w:space="0"/>
              <w:left w:val="single" w:color="auto" w:sz="4" w:space="0"/>
              <w:bottom w:val="single" w:color="auto" w:sz="4" w:space="0"/>
              <w:right w:val="single" w:color="auto" w:sz="4" w:space="0"/>
            </w:tcBorders>
          </w:tcPr>
          <w:p w14:paraId="19A4A46D">
            <w:pPr>
              <w:spacing w:after="0" w:line="240" w:lineRule="auto"/>
              <w:jc w:val="center"/>
              <w:rPr>
                <w:rFonts w:ascii="Times New Roman" w:hAnsi="Times New Roman"/>
                <w:szCs w:val="24"/>
              </w:rPr>
            </w:pPr>
            <w:r>
              <w:rPr>
                <w:rFonts w:ascii="Times New Roman" w:hAnsi="Times New Roman"/>
                <w:szCs w:val="24"/>
              </w:rPr>
              <w:t>X</w:t>
            </w:r>
          </w:p>
        </w:tc>
        <w:tc>
          <w:tcPr>
            <w:tcW w:w="1170" w:type="dxa"/>
            <w:tcBorders>
              <w:top w:val="single" w:color="auto" w:sz="4" w:space="0"/>
              <w:left w:val="single" w:color="auto" w:sz="4" w:space="0"/>
              <w:bottom w:val="single" w:color="auto" w:sz="4" w:space="0"/>
              <w:right w:val="single" w:color="auto" w:sz="4" w:space="0"/>
            </w:tcBorders>
          </w:tcPr>
          <w:p w14:paraId="5C449C19">
            <w:pPr>
              <w:spacing w:after="0" w:line="240" w:lineRule="auto"/>
              <w:jc w:val="center"/>
              <w:rPr>
                <w:rFonts w:ascii="Times New Roman" w:hAnsi="Times New Roman"/>
                <w:szCs w:val="24"/>
              </w:rPr>
            </w:pPr>
          </w:p>
        </w:tc>
        <w:tc>
          <w:tcPr>
            <w:tcW w:w="1170" w:type="dxa"/>
            <w:tcBorders>
              <w:top w:val="single" w:color="auto" w:sz="4" w:space="0"/>
              <w:left w:val="single" w:color="auto" w:sz="4" w:space="0"/>
              <w:bottom w:val="single" w:color="auto" w:sz="4" w:space="0"/>
              <w:right w:val="single" w:color="auto" w:sz="4" w:space="0"/>
            </w:tcBorders>
          </w:tcPr>
          <w:p w14:paraId="4F255541">
            <w:pPr>
              <w:spacing w:after="0" w:line="240" w:lineRule="auto"/>
              <w:jc w:val="center"/>
              <w:rPr>
                <w:rFonts w:ascii="Times New Roman" w:hAnsi="Times New Roman"/>
                <w:szCs w:val="24"/>
              </w:rPr>
            </w:pPr>
          </w:p>
        </w:tc>
        <w:tc>
          <w:tcPr>
            <w:tcW w:w="995" w:type="dxa"/>
            <w:tcBorders>
              <w:top w:val="single" w:color="auto" w:sz="4" w:space="0"/>
              <w:left w:val="single" w:color="auto" w:sz="4" w:space="0"/>
              <w:bottom w:val="single" w:color="auto" w:sz="4" w:space="0"/>
              <w:right w:val="single" w:color="auto" w:sz="4" w:space="0"/>
            </w:tcBorders>
            <w:vAlign w:val="center"/>
          </w:tcPr>
          <w:p w14:paraId="66448736">
            <w:pPr>
              <w:spacing w:after="0" w:line="240" w:lineRule="auto"/>
              <w:jc w:val="center"/>
              <w:rPr>
                <w:rFonts w:ascii="Times New Roman" w:hAnsi="Times New Roman"/>
                <w:szCs w:val="24"/>
              </w:rPr>
            </w:pPr>
            <w:r>
              <w:rPr>
                <w:rFonts w:ascii="Times New Roman" w:hAnsi="Times New Roman"/>
                <w:szCs w:val="24"/>
              </w:rPr>
              <w:t>X</w:t>
            </w:r>
          </w:p>
        </w:tc>
        <w:tc>
          <w:tcPr>
            <w:tcW w:w="1080" w:type="dxa"/>
            <w:tcBorders>
              <w:top w:val="single" w:color="auto" w:sz="4" w:space="0"/>
              <w:left w:val="single" w:color="auto" w:sz="4" w:space="0"/>
              <w:bottom w:val="single" w:color="auto" w:sz="4" w:space="0"/>
              <w:right w:val="single" w:color="auto" w:sz="4" w:space="0"/>
            </w:tcBorders>
            <w:vAlign w:val="center"/>
          </w:tcPr>
          <w:p w14:paraId="6E041255">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2D40406A">
            <w:pPr>
              <w:spacing w:after="0" w:line="240" w:lineRule="auto"/>
              <w:jc w:val="center"/>
              <w:rPr>
                <w:rFonts w:ascii="Times New Roman" w:hAnsi="Times New Roman"/>
                <w:szCs w:val="24"/>
              </w:rPr>
            </w:pPr>
            <w:r>
              <w:rPr>
                <w:rFonts w:ascii="Times New Roman" w:hAnsi="Times New Roman"/>
                <w:szCs w:val="24"/>
              </w:rPr>
              <w:t>X</w:t>
            </w:r>
          </w:p>
        </w:tc>
        <w:tc>
          <w:tcPr>
            <w:tcW w:w="1080" w:type="dxa"/>
            <w:tcBorders>
              <w:top w:val="single" w:color="auto" w:sz="4" w:space="0"/>
              <w:left w:val="single" w:color="auto" w:sz="4" w:space="0"/>
              <w:bottom w:val="single" w:color="auto" w:sz="4" w:space="0"/>
              <w:right w:val="single" w:color="auto" w:sz="4" w:space="0"/>
            </w:tcBorders>
            <w:vAlign w:val="center"/>
          </w:tcPr>
          <w:p w14:paraId="14F3EDF7">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6CFCCCD5">
            <w:pPr>
              <w:spacing w:after="0" w:line="240" w:lineRule="auto"/>
              <w:jc w:val="center"/>
              <w:rPr>
                <w:rFonts w:ascii="Times New Roman" w:hAnsi="Times New Roman"/>
                <w:szCs w:val="24"/>
              </w:rPr>
            </w:pPr>
            <w:r>
              <w:rPr>
                <w:rFonts w:ascii="Times New Roman" w:hAnsi="Times New Roman"/>
                <w:szCs w:val="24"/>
              </w:rPr>
              <w:t>X</w:t>
            </w:r>
          </w:p>
        </w:tc>
        <w:tc>
          <w:tcPr>
            <w:tcW w:w="1160" w:type="dxa"/>
            <w:tcBorders>
              <w:top w:val="single" w:color="auto" w:sz="4" w:space="0"/>
              <w:left w:val="single" w:color="auto" w:sz="4" w:space="0"/>
              <w:bottom w:val="single" w:color="auto" w:sz="4" w:space="0"/>
              <w:right w:val="single" w:color="auto" w:sz="4" w:space="0"/>
            </w:tcBorders>
            <w:vAlign w:val="center"/>
          </w:tcPr>
          <w:p w14:paraId="394AF8BF">
            <w:pPr>
              <w:spacing w:after="0" w:line="240" w:lineRule="auto"/>
              <w:jc w:val="center"/>
              <w:rPr>
                <w:rFonts w:ascii="Times New Roman" w:hAnsi="Times New Roman"/>
                <w:szCs w:val="24"/>
              </w:rPr>
            </w:pPr>
            <w:r>
              <w:rPr>
                <w:rFonts w:ascii="Times New Roman" w:hAnsi="Times New Roman"/>
                <w:szCs w:val="24"/>
              </w:rPr>
              <w:t>X</w:t>
            </w:r>
          </w:p>
        </w:tc>
        <w:tc>
          <w:tcPr>
            <w:tcW w:w="820" w:type="dxa"/>
            <w:tcBorders>
              <w:top w:val="single" w:color="auto" w:sz="4" w:space="0"/>
              <w:left w:val="single" w:color="auto" w:sz="4" w:space="0"/>
              <w:bottom w:val="single" w:color="auto" w:sz="4" w:space="0"/>
              <w:right w:val="single" w:color="auto" w:sz="4" w:space="0"/>
            </w:tcBorders>
            <w:vAlign w:val="center"/>
          </w:tcPr>
          <w:p w14:paraId="0C358A7C">
            <w:pPr>
              <w:spacing w:after="0" w:line="240" w:lineRule="auto"/>
              <w:jc w:val="center"/>
              <w:rPr>
                <w:rFonts w:ascii="Times New Roman" w:hAnsi="Times New Roman"/>
                <w:szCs w:val="24"/>
              </w:rPr>
            </w:pPr>
            <w:r>
              <w:rPr>
                <w:rFonts w:ascii="Times New Roman" w:hAnsi="Times New Roman"/>
                <w:szCs w:val="24"/>
              </w:rPr>
              <w:t>X</w:t>
            </w:r>
          </w:p>
        </w:tc>
        <w:tc>
          <w:tcPr>
            <w:tcW w:w="810" w:type="dxa"/>
            <w:tcBorders>
              <w:top w:val="single" w:color="auto" w:sz="4" w:space="0"/>
              <w:left w:val="single" w:color="auto" w:sz="4" w:space="0"/>
              <w:bottom w:val="single" w:color="auto" w:sz="4" w:space="0"/>
              <w:right w:val="single" w:color="auto" w:sz="4" w:space="0"/>
            </w:tcBorders>
            <w:vAlign w:val="center"/>
          </w:tcPr>
          <w:p w14:paraId="7D0E7B61">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2FA02B41">
            <w:pPr>
              <w:spacing w:after="0" w:line="240" w:lineRule="auto"/>
              <w:jc w:val="center"/>
              <w:rPr>
                <w:rFonts w:ascii="Times New Roman" w:hAnsi="Times New Roman"/>
                <w:szCs w:val="24"/>
              </w:rPr>
            </w:pPr>
          </w:p>
        </w:tc>
      </w:tr>
      <w:tr w14:paraId="6AA2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blHeader/>
        </w:trPr>
        <w:tc>
          <w:tcPr>
            <w:tcW w:w="1276" w:type="dxa"/>
            <w:tcBorders>
              <w:top w:val="single" w:color="auto" w:sz="4" w:space="0"/>
              <w:left w:val="single" w:color="auto" w:sz="4" w:space="0"/>
              <w:bottom w:val="single" w:color="auto" w:sz="4" w:space="0"/>
              <w:right w:val="single" w:color="auto" w:sz="4" w:space="0"/>
            </w:tcBorders>
          </w:tcPr>
          <w:p w14:paraId="05355DB7">
            <w:pPr>
              <w:spacing w:after="0" w:line="240" w:lineRule="auto"/>
              <w:rPr>
                <w:rFonts w:ascii="Times New Roman" w:hAnsi="Times New Roman"/>
                <w:szCs w:val="24"/>
              </w:rPr>
            </w:pPr>
            <w:r>
              <w:rPr>
                <w:rFonts w:ascii="Times New Roman" w:hAnsi="Times New Roman"/>
                <w:szCs w:val="24"/>
              </w:rPr>
              <w:t>Socio</w:t>
            </w:r>
            <w:r>
              <w:rPr>
                <w:rFonts w:ascii="Times New Roman" w:hAnsi="Times New Roman"/>
                <w:szCs w:val="24"/>
              </w:rPr>
              <w:br w:type="textWrapping"/>
            </w:r>
            <w:r>
              <w:rPr>
                <w:rFonts w:ascii="Times New Roman" w:hAnsi="Times New Roman"/>
                <w:szCs w:val="24"/>
              </w:rPr>
              <w:t>economics</w:t>
            </w:r>
          </w:p>
          <w:p w14:paraId="6B58E402">
            <w:pPr>
              <w:spacing w:after="0" w:line="240" w:lineRule="auto"/>
              <w:rPr>
                <w:rFonts w:ascii="Times New Roman" w:hAnsi="Times New Roman"/>
                <w:szCs w:val="24"/>
              </w:rPr>
            </w:pPr>
          </w:p>
        </w:tc>
        <w:tc>
          <w:tcPr>
            <w:tcW w:w="2589" w:type="dxa"/>
            <w:tcBorders>
              <w:top w:val="single" w:color="auto" w:sz="4" w:space="0"/>
              <w:left w:val="single" w:color="auto" w:sz="4" w:space="0"/>
              <w:bottom w:val="single" w:color="auto" w:sz="4" w:space="0"/>
              <w:right w:val="single" w:color="auto" w:sz="4" w:space="0"/>
            </w:tcBorders>
          </w:tcPr>
          <w:p w14:paraId="4C301936">
            <w:pPr>
              <w:spacing w:after="0" w:line="240" w:lineRule="auto"/>
              <w:rPr>
                <w:rFonts w:ascii="Times New Roman" w:hAnsi="Times New Roman"/>
                <w:szCs w:val="24"/>
              </w:rPr>
            </w:pPr>
            <w:r>
              <w:rPr>
                <w:rFonts w:ascii="Times New Roman" w:hAnsi="Times New Roman"/>
                <w:szCs w:val="24"/>
              </w:rPr>
              <w:t>Improvement of local and regional socio-economy</w:t>
            </w:r>
          </w:p>
        </w:tc>
        <w:tc>
          <w:tcPr>
            <w:tcW w:w="1170" w:type="dxa"/>
            <w:tcBorders>
              <w:top w:val="single" w:color="auto" w:sz="4" w:space="0"/>
              <w:left w:val="single" w:color="auto" w:sz="4" w:space="0"/>
              <w:bottom w:val="single" w:color="auto" w:sz="4" w:space="0"/>
              <w:right w:val="single" w:color="auto" w:sz="4" w:space="0"/>
            </w:tcBorders>
          </w:tcPr>
          <w:p w14:paraId="6C440973">
            <w:pPr>
              <w:spacing w:after="0" w:line="240" w:lineRule="auto"/>
              <w:jc w:val="center"/>
              <w:rPr>
                <w:rFonts w:ascii="Times New Roman" w:hAnsi="Times New Roman"/>
                <w:szCs w:val="24"/>
              </w:rPr>
            </w:pPr>
            <w:r>
              <w:rPr>
                <w:rFonts w:ascii="Times New Roman" w:hAnsi="Times New Roman"/>
                <w:szCs w:val="24"/>
              </w:rPr>
              <w:t>X</w:t>
            </w:r>
          </w:p>
        </w:tc>
        <w:tc>
          <w:tcPr>
            <w:tcW w:w="1170" w:type="dxa"/>
            <w:tcBorders>
              <w:top w:val="single" w:color="auto" w:sz="4" w:space="0"/>
              <w:left w:val="single" w:color="auto" w:sz="4" w:space="0"/>
              <w:bottom w:val="single" w:color="auto" w:sz="4" w:space="0"/>
              <w:right w:val="single" w:color="auto" w:sz="4" w:space="0"/>
            </w:tcBorders>
          </w:tcPr>
          <w:p w14:paraId="092B8302">
            <w:pPr>
              <w:spacing w:after="0" w:line="240" w:lineRule="auto"/>
              <w:jc w:val="center"/>
              <w:rPr>
                <w:rFonts w:ascii="Times New Roman" w:hAnsi="Times New Roman"/>
                <w:szCs w:val="24"/>
              </w:rPr>
            </w:pPr>
          </w:p>
        </w:tc>
        <w:tc>
          <w:tcPr>
            <w:tcW w:w="1170" w:type="dxa"/>
            <w:tcBorders>
              <w:top w:val="single" w:color="auto" w:sz="4" w:space="0"/>
              <w:left w:val="single" w:color="auto" w:sz="4" w:space="0"/>
              <w:bottom w:val="single" w:color="auto" w:sz="4" w:space="0"/>
              <w:right w:val="single" w:color="auto" w:sz="4" w:space="0"/>
            </w:tcBorders>
          </w:tcPr>
          <w:p w14:paraId="654D8B83">
            <w:pPr>
              <w:spacing w:after="0" w:line="240" w:lineRule="auto"/>
              <w:jc w:val="center"/>
              <w:rPr>
                <w:rFonts w:ascii="Times New Roman" w:hAnsi="Times New Roman"/>
                <w:szCs w:val="24"/>
              </w:rPr>
            </w:pPr>
          </w:p>
        </w:tc>
        <w:tc>
          <w:tcPr>
            <w:tcW w:w="995" w:type="dxa"/>
            <w:tcBorders>
              <w:top w:val="single" w:color="auto" w:sz="4" w:space="0"/>
              <w:left w:val="single" w:color="auto" w:sz="4" w:space="0"/>
              <w:bottom w:val="single" w:color="auto" w:sz="4" w:space="0"/>
              <w:right w:val="single" w:color="auto" w:sz="4" w:space="0"/>
            </w:tcBorders>
            <w:vAlign w:val="center"/>
          </w:tcPr>
          <w:p w14:paraId="6AEE0BBC">
            <w:pPr>
              <w:spacing w:after="0" w:line="240" w:lineRule="auto"/>
              <w:jc w:val="center"/>
              <w:rPr>
                <w:rFonts w:ascii="Times New Roman" w:hAnsi="Times New Roman"/>
                <w:szCs w:val="24"/>
              </w:rPr>
            </w:pPr>
            <w:r>
              <w:rPr>
                <w:rFonts w:ascii="Times New Roman" w:hAnsi="Times New Roman"/>
                <w:szCs w:val="24"/>
              </w:rPr>
              <w:t>X</w:t>
            </w:r>
          </w:p>
        </w:tc>
        <w:tc>
          <w:tcPr>
            <w:tcW w:w="1080" w:type="dxa"/>
            <w:tcBorders>
              <w:top w:val="single" w:color="auto" w:sz="4" w:space="0"/>
              <w:left w:val="single" w:color="auto" w:sz="4" w:space="0"/>
              <w:bottom w:val="single" w:color="auto" w:sz="4" w:space="0"/>
              <w:right w:val="single" w:color="auto" w:sz="4" w:space="0"/>
            </w:tcBorders>
            <w:vAlign w:val="center"/>
          </w:tcPr>
          <w:p w14:paraId="494521C2">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7C2CF00E">
            <w:pPr>
              <w:spacing w:after="0" w:line="240" w:lineRule="auto"/>
              <w:jc w:val="center"/>
              <w:rPr>
                <w:rFonts w:ascii="Times New Roman" w:hAnsi="Times New Roman"/>
                <w:szCs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63024E75">
            <w:pPr>
              <w:spacing w:after="0" w:line="240" w:lineRule="auto"/>
              <w:jc w:val="center"/>
              <w:rPr>
                <w:rFonts w:ascii="Times New Roman" w:hAnsi="Times New Roman"/>
                <w:szCs w:val="24"/>
              </w:rPr>
            </w:pPr>
            <w:r>
              <w:rPr>
                <w:rFonts w:ascii="Times New Roman" w:hAnsi="Times New Roman"/>
                <w:szCs w:val="24"/>
              </w:rPr>
              <w:t>X</w:t>
            </w:r>
          </w:p>
        </w:tc>
        <w:tc>
          <w:tcPr>
            <w:tcW w:w="900" w:type="dxa"/>
            <w:tcBorders>
              <w:top w:val="single" w:color="auto" w:sz="4" w:space="0"/>
              <w:left w:val="single" w:color="auto" w:sz="4" w:space="0"/>
              <w:bottom w:val="single" w:color="auto" w:sz="4" w:space="0"/>
              <w:right w:val="single" w:color="auto" w:sz="4" w:space="0"/>
            </w:tcBorders>
            <w:vAlign w:val="center"/>
          </w:tcPr>
          <w:p w14:paraId="6A88C4A1">
            <w:pPr>
              <w:spacing w:after="0" w:line="240" w:lineRule="auto"/>
              <w:jc w:val="center"/>
              <w:rPr>
                <w:rFonts w:ascii="Times New Roman" w:hAnsi="Times New Roman"/>
                <w:szCs w:val="24"/>
              </w:rPr>
            </w:pPr>
          </w:p>
        </w:tc>
        <w:tc>
          <w:tcPr>
            <w:tcW w:w="1160" w:type="dxa"/>
            <w:tcBorders>
              <w:top w:val="single" w:color="auto" w:sz="4" w:space="0"/>
              <w:left w:val="single" w:color="auto" w:sz="4" w:space="0"/>
              <w:bottom w:val="single" w:color="auto" w:sz="4" w:space="0"/>
              <w:right w:val="single" w:color="auto" w:sz="4" w:space="0"/>
            </w:tcBorders>
            <w:vAlign w:val="center"/>
          </w:tcPr>
          <w:p w14:paraId="1BEC446F">
            <w:pPr>
              <w:spacing w:after="0" w:line="240" w:lineRule="auto"/>
              <w:jc w:val="center"/>
              <w:rPr>
                <w:rFonts w:ascii="Times New Roman" w:hAnsi="Times New Roman"/>
                <w:szCs w:val="24"/>
              </w:rPr>
            </w:pPr>
          </w:p>
        </w:tc>
        <w:tc>
          <w:tcPr>
            <w:tcW w:w="820" w:type="dxa"/>
            <w:tcBorders>
              <w:top w:val="single" w:color="auto" w:sz="4" w:space="0"/>
              <w:left w:val="single" w:color="auto" w:sz="4" w:space="0"/>
              <w:bottom w:val="single" w:color="auto" w:sz="4" w:space="0"/>
              <w:right w:val="single" w:color="auto" w:sz="4" w:space="0"/>
            </w:tcBorders>
            <w:vAlign w:val="center"/>
          </w:tcPr>
          <w:p w14:paraId="520A1809">
            <w:pPr>
              <w:spacing w:after="0" w:line="240" w:lineRule="auto"/>
              <w:jc w:val="center"/>
              <w:rPr>
                <w:rFonts w:ascii="Times New Roman" w:hAnsi="Times New Roman"/>
                <w:szCs w:val="24"/>
              </w:rPr>
            </w:pPr>
            <w:r>
              <w:rPr>
                <w:rFonts w:ascii="Times New Roman" w:hAnsi="Times New Roman"/>
                <w:szCs w:val="24"/>
              </w:rPr>
              <w:t>X</w:t>
            </w:r>
          </w:p>
        </w:tc>
        <w:tc>
          <w:tcPr>
            <w:tcW w:w="810" w:type="dxa"/>
            <w:tcBorders>
              <w:top w:val="single" w:color="auto" w:sz="4" w:space="0"/>
              <w:left w:val="single" w:color="auto" w:sz="4" w:space="0"/>
              <w:bottom w:val="single" w:color="auto" w:sz="4" w:space="0"/>
              <w:right w:val="single" w:color="auto" w:sz="4" w:space="0"/>
            </w:tcBorders>
            <w:vAlign w:val="center"/>
          </w:tcPr>
          <w:p w14:paraId="6848F692">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52282F0E">
            <w:pPr>
              <w:spacing w:after="0" w:line="240" w:lineRule="auto"/>
              <w:jc w:val="center"/>
              <w:rPr>
                <w:rFonts w:ascii="Times New Roman" w:hAnsi="Times New Roman"/>
                <w:szCs w:val="24"/>
              </w:rPr>
            </w:pPr>
          </w:p>
        </w:tc>
      </w:tr>
      <w:tr w14:paraId="7B2A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blHeader/>
        </w:trPr>
        <w:tc>
          <w:tcPr>
            <w:tcW w:w="1276" w:type="dxa"/>
            <w:tcBorders>
              <w:top w:val="single" w:color="auto" w:sz="4" w:space="0"/>
              <w:left w:val="single" w:color="auto" w:sz="4" w:space="0"/>
              <w:bottom w:val="single" w:color="auto" w:sz="4" w:space="0"/>
              <w:right w:val="single" w:color="auto" w:sz="4" w:space="0"/>
            </w:tcBorders>
          </w:tcPr>
          <w:p w14:paraId="67F7A22B">
            <w:pPr>
              <w:spacing w:after="0" w:line="240" w:lineRule="auto"/>
              <w:rPr>
                <w:rFonts w:ascii="Times New Roman" w:hAnsi="Times New Roman"/>
                <w:szCs w:val="24"/>
              </w:rPr>
            </w:pPr>
          </w:p>
        </w:tc>
        <w:tc>
          <w:tcPr>
            <w:tcW w:w="2589" w:type="dxa"/>
            <w:tcBorders>
              <w:top w:val="single" w:color="auto" w:sz="4" w:space="0"/>
              <w:left w:val="single" w:color="auto" w:sz="4" w:space="0"/>
              <w:bottom w:val="single" w:color="auto" w:sz="4" w:space="0"/>
              <w:right w:val="single" w:color="auto" w:sz="4" w:space="0"/>
            </w:tcBorders>
          </w:tcPr>
          <w:p w14:paraId="22153C04">
            <w:pPr>
              <w:spacing w:after="0" w:line="240" w:lineRule="auto"/>
              <w:rPr>
                <w:rFonts w:ascii="Times New Roman" w:hAnsi="Times New Roman"/>
                <w:szCs w:val="24"/>
              </w:rPr>
            </w:pPr>
            <w:r>
              <w:rPr>
                <w:rFonts w:ascii="Times New Roman" w:hAnsi="Times New Roman"/>
                <w:szCs w:val="24"/>
              </w:rPr>
              <w:t>Employment and job creation during construction and operation phases</w:t>
            </w:r>
          </w:p>
        </w:tc>
        <w:tc>
          <w:tcPr>
            <w:tcW w:w="1170" w:type="dxa"/>
            <w:tcBorders>
              <w:top w:val="single" w:color="auto" w:sz="4" w:space="0"/>
              <w:left w:val="single" w:color="auto" w:sz="4" w:space="0"/>
              <w:bottom w:val="single" w:color="auto" w:sz="4" w:space="0"/>
              <w:right w:val="single" w:color="auto" w:sz="4" w:space="0"/>
            </w:tcBorders>
          </w:tcPr>
          <w:p w14:paraId="23AC2A9D">
            <w:pPr>
              <w:spacing w:after="0" w:line="240" w:lineRule="auto"/>
              <w:jc w:val="center"/>
              <w:rPr>
                <w:rFonts w:ascii="Times New Roman" w:hAnsi="Times New Roman"/>
                <w:szCs w:val="24"/>
              </w:rPr>
            </w:pPr>
          </w:p>
        </w:tc>
        <w:tc>
          <w:tcPr>
            <w:tcW w:w="1170" w:type="dxa"/>
            <w:tcBorders>
              <w:top w:val="single" w:color="auto" w:sz="4" w:space="0"/>
              <w:left w:val="single" w:color="auto" w:sz="4" w:space="0"/>
              <w:bottom w:val="single" w:color="auto" w:sz="4" w:space="0"/>
              <w:right w:val="single" w:color="auto" w:sz="4" w:space="0"/>
            </w:tcBorders>
          </w:tcPr>
          <w:p w14:paraId="1EEB959D">
            <w:pPr>
              <w:spacing w:after="0" w:line="240" w:lineRule="auto"/>
              <w:jc w:val="center"/>
              <w:rPr>
                <w:rFonts w:ascii="Times New Roman" w:hAnsi="Times New Roman"/>
                <w:szCs w:val="24"/>
              </w:rPr>
            </w:pPr>
            <w:r>
              <w:rPr>
                <w:rFonts w:ascii="Times New Roman" w:hAnsi="Times New Roman"/>
                <w:szCs w:val="24"/>
              </w:rPr>
              <w:t>X</w:t>
            </w:r>
          </w:p>
        </w:tc>
        <w:tc>
          <w:tcPr>
            <w:tcW w:w="1170" w:type="dxa"/>
            <w:tcBorders>
              <w:top w:val="single" w:color="auto" w:sz="4" w:space="0"/>
              <w:left w:val="single" w:color="auto" w:sz="4" w:space="0"/>
              <w:bottom w:val="single" w:color="auto" w:sz="4" w:space="0"/>
              <w:right w:val="single" w:color="auto" w:sz="4" w:space="0"/>
            </w:tcBorders>
          </w:tcPr>
          <w:p w14:paraId="4ED773F0">
            <w:pPr>
              <w:spacing w:after="0" w:line="240" w:lineRule="auto"/>
              <w:jc w:val="center"/>
              <w:rPr>
                <w:rFonts w:ascii="Times New Roman" w:hAnsi="Times New Roman"/>
                <w:szCs w:val="24"/>
              </w:rPr>
            </w:pPr>
          </w:p>
        </w:tc>
        <w:tc>
          <w:tcPr>
            <w:tcW w:w="995" w:type="dxa"/>
            <w:tcBorders>
              <w:top w:val="single" w:color="auto" w:sz="4" w:space="0"/>
              <w:left w:val="single" w:color="auto" w:sz="4" w:space="0"/>
              <w:bottom w:val="single" w:color="auto" w:sz="4" w:space="0"/>
              <w:right w:val="single" w:color="auto" w:sz="4" w:space="0"/>
            </w:tcBorders>
            <w:vAlign w:val="center"/>
          </w:tcPr>
          <w:p w14:paraId="3A87981A">
            <w:pPr>
              <w:spacing w:after="0" w:line="240" w:lineRule="auto"/>
              <w:jc w:val="center"/>
              <w:rPr>
                <w:rFonts w:ascii="Times New Roman" w:hAnsi="Times New Roman"/>
                <w:szCs w:val="24"/>
              </w:rPr>
            </w:pPr>
            <w:r>
              <w:rPr>
                <w:rFonts w:ascii="Times New Roman" w:hAnsi="Times New Roman"/>
                <w:szCs w:val="24"/>
              </w:rPr>
              <w:t>X</w:t>
            </w:r>
          </w:p>
        </w:tc>
        <w:tc>
          <w:tcPr>
            <w:tcW w:w="1080" w:type="dxa"/>
            <w:tcBorders>
              <w:top w:val="single" w:color="auto" w:sz="4" w:space="0"/>
              <w:left w:val="single" w:color="auto" w:sz="4" w:space="0"/>
              <w:bottom w:val="single" w:color="auto" w:sz="4" w:space="0"/>
              <w:right w:val="single" w:color="auto" w:sz="4" w:space="0"/>
            </w:tcBorders>
            <w:vAlign w:val="center"/>
          </w:tcPr>
          <w:p w14:paraId="7EE2F615">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64077F42">
            <w:pPr>
              <w:spacing w:after="0" w:line="240" w:lineRule="auto"/>
              <w:jc w:val="center"/>
              <w:rPr>
                <w:rFonts w:ascii="Times New Roman" w:hAnsi="Times New Roman"/>
                <w:szCs w:val="24"/>
              </w:rPr>
            </w:pPr>
            <w:r>
              <w:rPr>
                <w:rFonts w:ascii="Times New Roman" w:hAnsi="Times New Roman"/>
                <w:szCs w:val="24"/>
              </w:rPr>
              <w:t>X</w:t>
            </w:r>
          </w:p>
        </w:tc>
        <w:tc>
          <w:tcPr>
            <w:tcW w:w="1080" w:type="dxa"/>
            <w:tcBorders>
              <w:top w:val="single" w:color="auto" w:sz="4" w:space="0"/>
              <w:left w:val="single" w:color="auto" w:sz="4" w:space="0"/>
              <w:bottom w:val="single" w:color="auto" w:sz="4" w:space="0"/>
              <w:right w:val="single" w:color="auto" w:sz="4" w:space="0"/>
            </w:tcBorders>
            <w:vAlign w:val="center"/>
          </w:tcPr>
          <w:p w14:paraId="0EA9FC18">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2A38D486">
            <w:pPr>
              <w:spacing w:after="0" w:line="240" w:lineRule="auto"/>
              <w:jc w:val="center"/>
              <w:rPr>
                <w:rFonts w:ascii="Times New Roman" w:hAnsi="Times New Roman"/>
                <w:szCs w:val="24"/>
              </w:rPr>
            </w:pPr>
            <w:r>
              <w:rPr>
                <w:rFonts w:ascii="Times New Roman" w:hAnsi="Times New Roman"/>
                <w:szCs w:val="24"/>
              </w:rPr>
              <w:t>X</w:t>
            </w:r>
          </w:p>
        </w:tc>
        <w:tc>
          <w:tcPr>
            <w:tcW w:w="1160" w:type="dxa"/>
            <w:tcBorders>
              <w:top w:val="single" w:color="auto" w:sz="4" w:space="0"/>
              <w:left w:val="single" w:color="auto" w:sz="4" w:space="0"/>
              <w:bottom w:val="single" w:color="auto" w:sz="4" w:space="0"/>
              <w:right w:val="single" w:color="auto" w:sz="4" w:space="0"/>
            </w:tcBorders>
            <w:vAlign w:val="center"/>
          </w:tcPr>
          <w:p w14:paraId="613DEE2C">
            <w:pPr>
              <w:spacing w:after="0" w:line="240" w:lineRule="auto"/>
              <w:jc w:val="center"/>
              <w:rPr>
                <w:rFonts w:ascii="Times New Roman" w:hAnsi="Times New Roman"/>
                <w:szCs w:val="24"/>
              </w:rPr>
            </w:pPr>
            <w:r>
              <w:rPr>
                <w:rFonts w:ascii="Times New Roman" w:hAnsi="Times New Roman"/>
                <w:szCs w:val="24"/>
              </w:rPr>
              <w:t>X</w:t>
            </w:r>
          </w:p>
        </w:tc>
        <w:tc>
          <w:tcPr>
            <w:tcW w:w="820" w:type="dxa"/>
            <w:tcBorders>
              <w:top w:val="single" w:color="auto" w:sz="4" w:space="0"/>
              <w:left w:val="single" w:color="auto" w:sz="4" w:space="0"/>
              <w:bottom w:val="single" w:color="auto" w:sz="4" w:space="0"/>
              <w:right w:val="single" w:color="auto" w:sz="4" w:space="0"/>
            </w:tcBorders>
            <w:vAlign w:val="center"/>
          </w:tcPr>
          <w:p w14:paraId="1FE6F17E">
            <w:pPr>
              <w:spacing w:after="0" w:line="240" w:lineRule="auto"/>
              <w:jc w:val="center"/>
              <w:rPr>
                <w:rFonts w:ascii="Times New Roman" w:hAnsi="Times New Roman"/>
                <w:szCs w:val="24"/>
              </w:rPr>
            </w:pPr>
            <w:r>
              <w:rPr>
                <w:rFonts w:ascii="Times New Roman" w:hAnsi="Times New Roman"/>
                <w:szCs w:val="24"/>
              </w:rPr>
              <w:t>X</w:t>
            </w:r>
          </w:p>
        </w:tc>
        <w:tc>
          <w:tcPr>
            <w:tcW w:w="810" w:type="dxa"/>
            <w:tcBorders>
              <w:top w:val="single" w:color="auto" w:sz="4" w:space="0"/>
              <w:left w:val="single" w:color="auto" w:sz="4" w:space="0"/>
              <w:bottom w:val="single" w:color="auto" w:sz="4" w:space="0"/>
              <w:right w:val="single" w:color="auto" w:sz="4" w:space="0"/>
            </w:tcBorders>
            <w:vAlign w:val="center"/>
          </w:tcPr>
          <w:p w14:paraId="79CB2AA3">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022FB471">
            <w:pPr>
              <w:spacing w:after="0" w:line="240" w:lineRule="auto"/>
              <w:jc w:val="center"/>
              <w:rPr>
                <w:rFonts w:ascii="Times New Roman" w:hAnsi="Times New Roman"/>
                <w:szCs w:val="24"/>
              </w:rPr>
            </w:pPr>
          </w:p>
        </w:tc>
      </w:tr>
      <w:tr w14:paraId="5130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blHeader/>
        </w:trPr>
        <w:tc>
          <w:tcPr>
            <w:tcW w:w="1276" w:type="dxa"/>
            <w:tcBorders>
              <w:top w:val="single" w:color="auto" w:sz="4" w:space="0"/>
              <w:left w:val="single" w:color="auto" w:sz="4" w:space="0"/>
              <w:bottom w:val="single" w:color="auto" w:sz="4" w:space="0"/>
              <w:right w:val="single" w:color="auto" w:sz="4" w:space="0"/>
            </w:tcBorders>
          </w:tcPr>
          <w:p w14:paraId="160FBD4E">
            <w:pPr>
              <w:spacing w:after="0" w:line="240" w:lineRule="auto"/>
              <w:rPr>
                <w:rFonts w:ascii="Times New Roman" w:hAnsi="Times New Roman"/>
                <w:szCs w:val="24"/>
              </w:rPr>
            </w:pPr>
            <w:r>
              <w:rPr>
                <w:rFonts w:ascii="Times New Roman" w:hAnsi="Times New Roman"/>
                <w:szCs w:val="24"/>
              </w:rPr>
              <w:t>Improved local economy</w:t>
            </w:r>
          </w:p>
        </w:tc>
        <w:tc>
          <w:tcPr>
            <w:tcW w:w="2589" w:type="dxa"/>
            <w:tcBorders>
              <w:top w:val="single" w:color="auto" w:sz="4" w:space="0"/>
              <w:left w:val="single" w:color="auto" w:sz="4" w:space="0"/>
              <w:bottom w:val="single" w:color="auto" w:sz="4" w:space="0"/>
              <w:right w:val="single" w:color="auto" w:sz="4" w:space="0"/>
            </w:tcBorders>
          </w:tcPr>
          <w:p w14:paraId="74DE2922">
            <w:pPr>
              <w:spacing w:after="0" w:line="240" w:lineRule="auto"/>
              <w:rPr>
                <w:rFonts w:ascii="Times New Roman" w:hAnsi="Times New Roman"/>
                <w:szCs w:val="24"/>
              </w:rPr>
            </w:pPr>
            <w:r>
              <w:rPr>
                <w:rFonts w:ascii="Times New Roman" w:hAnsi="Times New Roman"/>
                <w:szCs w:val="24"/>
              </w:rPr>
              <w:t>Money spent treating diseases saved</w:t>
            </w:r>
          </w:p>
        </w:tc>
        <w:tc>
          <w:tcPr>
            <w:tcW w:w="1170" w:type="dxa"/>
            <w:tcBorders>
              <w:top w:val="single" w:color="auto" w:sz="4" w:space="0"/>
              <w:left w:val="single" w:color="auto" w:sz="4" w:space="0"/>
              <w:bottom w:val="single" w:color="auto" w:sz="4" w:space="0"/>
              <w:right w:val="single" w:color="auto" w:sz="4" w:space="0"/>
            </w:tcBorders>
          </w:tcPr>
          <w:p w14:paraId="09DCE85A">
            <w:pPr>
              <w:spacing w:after="0" w:line="240" w:lineRule="auto"/>
              <w:jc w:val="center"/>
              <w:rPr>
                <w:rFonts w:ascii="Times New Roman" w:hAnsi="Times New Roman"/>
                <w:szCs w:val="24"/>
              </w:rPr>
            </w:pPr>
          </w:p>
        </w:tc>
        <w:tc>
          <w:tcPr>
            <w:tcW w:w="1170" w:type="dxa"/>
            <w:tcBorders>
              <w:top w:val="single" w:color="auto" w:sz="4" w:space="0"/>
              <w:left w:val="single" w:color="auto" w:sz="4" w:space="0"/>
              <w:bottom w:val="single" w:color="auto" w:sz="4" w:space="0"/>
              <w:right w:val="single" w:color="auto" w:sz="4" w:space="0"/>
            </w:tcBorders>
          </w:tcPr>
          <w:p w14:paraId="7ACA86DB">
            <w:pPr>
              <w:spacing w:after="0" w:line="240" w:lineRule="auto"/>
              <w:jc w:val="center"/>
              <w:rPr>
                <w:rFonts w:ascii="Times New Roman" w:hAnsi="Times New Roman"/>
                <w:szCs w:val="24"/>
              </w:rPr>
            </w:pPr>
            <w:r>
              <w:rPr>
                <w:rFonts w:ascii="Times New Roman" w:hAnsi="Times New Roman"/>
                <w:szCs w:val="24"/>
              </w:rPr>
              <w:t>X</w:t>
            </w:r>
          </w:p>
        </w:tc>
        <w:tc>
          <w:tcPr>
            <w:tcW w:w="1170" w:type="dxa"/>
            <w:tcBorders>
              <w:top w:val="single" w:color="auto" w:sz="4" w:space="0"/>
              <w:left w:val="single" w:color="auto" w:sz="4" w:space="0"/>
              <w:bottom w:val="single" w:color="auto" w:sz="4" w:space="0"/>
              <w:right w:val="single" w:color="auto" w:sz="4" w:space="0"/>
            </w:tcBorders>
          </w:tcPr>
          <w:p w14:paraId="46A4684F">
            <w:pPr>
              <w:spacing w:after="0" w:line="240" w:lineRule="auto"/>
              <w:jc w:val="center"/>
              <w:rPr>
                <w:rFonts w:ascii="Times New Roman" w:hAnsi="Times New Roman"/>
                <w:szCs w:val="24"/>
              </w:rPr>
            </w:pPr>
          </w:p>
        </w:tc>
        <w:tc>
          <w:tcPr>
            <w:tcW w:w="995" w:type="dxa"/>
            <w:tcBorders>
              <w:top w:val="single" w:color="auto" w:sz="4" w:space="0"/>
              <w:left w:val="single" w:color="auto" w:sz="4" w:space="0"/>
              <w:bottom w:val="single" w:color="auto" w:sz="4" w:space="0"/>
              <w:right w:val="single" w:color="auto" w:sz="4" w:space="0"/>
            </w:tcBorders>
            <w:vAlign w:val="center"/>
          </w:tcPr>
          <w:p w14:paraId="2C427624">
            <w:pPr>
              <w:spacing w:after="0" w:line="240" w:lineRule="auto"/>
              <w:jc w:val="center"/>
              <w:rPr>
                <w:rFonts w:ascii="Times New Roman" w:hAnsi="Times New Roman"/>
                <w:szCs w:val="24"/>
              </w:rPr>
            </w:pPr>
            <w:r>
              <w:rPr>
                <w:rFonts w:ascii="Times New Roman" w:hAnsi="Times New Roman"/>
                <w:szCs w:val="24"/>
              </w:rPr>
              <w:t>X</w:t>
            </w:r>
          </w:p>
        </w:tc>
        <w:tc>
          <w:tcPr>
            <w:tcW w:w="1080" w:type="dxa"/>
            <w:tcBorders>
              <w:top w:val="single" w:color="auto" w:sz="4" w:space="0"/>
              <w:left w:val="single" w:color="auto" w:sz="4" w:space="0"/>
              <w:bottom w:val="single" w:color="auto" w:sz="4" w:space="0"/>
              <w:right w:val="single" w:color="auto" w:sz="4" w:space="0"/>
            </w:tcBorders>
            <w:vAlign w:val="center"/>
          </w:tcPr>
          <w:p w14:paraId="0CBB1BF2">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012BD6BA">
            <w:pPr>
              <w:spacing w:after="0" w:line="240" w:lineRule="auto"/>
              <w:jc w:val="center"/>
              <w:rPr>
                <w:rFonts w:ascii="Times New Roman" w:hAnsi="Times New Roman"/>
                <w:szCs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09D95FD0">
            <w:pPr>
              <w:spacing w:after="0" w:line="240" w:lineRule="auto"/>
              <w:jc w:val="center"/>
              <w:rPr>
                <w:rFonts w:ascii="Times New Roman" w:hAnsi="Times New Roman"/>
                <w:szCs w:val="24"/>
              </w:rPr>
            </w:pPr>
            <w:r>
              <w:rPr>
                <w:rFonts w:ascii="Times New Roman" w:hAnsi="Times New Roman"/>
                <w:szCs w:val="24"/>
              </w:rPr>
              <w:t>X</w:t>
            </w:r>
          </w:p>
        </w:tc>
        <w:tc>
          <w:tcPr>
            <w:tcW w:w="900" w:type="dxa"/>
            <w:tcBorders>
              <w:top w:val="single" w:color="auto" w:sz="4" w:space="0"/>
              <w:left w:val="single" w:color="auto" w:sz="4" w:space="0"/>
              <w:bottom w:val="single" w:color="auto" w:sz="4" w:space="0"/>
              <w:right w:val="single" w:color="auto" w:sz="4" w:space="0"/>
            </w:tcBorders>
            <w:vAlign w:val="center"/>
          </w:tcPr>
          <w:p w14:paraId="733D518D">
            <w:pPr>
              <w:spacing w:after="0" w:line="240" w:lineRule="auto"/>
              <w:jc w:val="center"/>
              <w:rPr>
                <w:rFonts w:ascii="Times New Roman" w:hAnsi="Times New Roman"/>
                <w:szCs w:val="24"/>
              </w:rPr>
            </w:pPr>
          </w:p>
        </w:tc>
        <w:tc>
          <w:tcPr>
            <w:tcW w:w="1160" w:type="dxa"/>
            <w:tcBorders>
              <w:top w:val="single" w:color="auto" w:sz="4" w:space="0"/>
              <w:left w:val="single" w:color="auto" w:sz="4" w:space="0"/>
              <w:bottom w:val="single" w:color="auto" w:sz="4" w:space="0"/>
              <w:right w:val="single" w:color="auto" w:sz="4" w:space="0"/>
            </w:tcBorders>
            <w:vAlign w:val="center"/>
          </w:tcPr>
          <w:p w14:paraId="126E9343">
            <w:pPr>
              <w:spacing w:after="0" w:line="240" w:lineRule="auto"/>
              <w:jc w:val="center"/>
              <w:rPr>
                <w:rFonts w:ascii="Times New Roman" w:hAnsi="Times New Roman"/>
                <w:szCs w:val="24"/>
              </w:rPr>
            </w:pPr>
          </w:p>
        </w:tc>
        <w:tc>
          <w:tcPr>
            <w:tcW w:w="820" w:type="dxa"/>
            <w:tcBorders>
              <w:top w:val="single" w:color="auto" w:sz="4" w:space="0"/>
              <w:left w:val="single" w:color="auto" w:sz="4" w:space="0"/>
              <w:bottom w:val="single" w:color="auto" w:sz="4" w:space="0"/>
              <w:right w:val="single" w:color="auto" w:sz="4" w:space="0"/>
            </w:tcBorders>
            <w:vAlign w:val="center"/>
          </w:tcPr>
          <w:p w14:paraId="371424F7">
            <w:pPr>
              <w:spacing w:after="0" w:line="240" w:lineRule="auto"/>
              <w:jc w:val="center"/>
              <w:rPr>
                <w:rFonts w:ascii="Times New Roman" w:hAnsi="Times New Roman"/>
                <w:szCs w:val="24"/>
              </w:rPr>
            </w:pPr>
            <w:r>
              <w:rPr>
                <w:rFonts w:ascii="Times New Roman" w:hAnsi="Times New Roman"/>
                <w:szCs w:val="24"/>
              </w:rPr>
              <w:t>X</w:t>
            </w:r>
          </w:p>
        </w:tc>
        <w:tc>
          <w:tcPr>
            <w:tcW w:w="810" w:type="dxa"/>
            <w:tcBorders>
              <w:top w:val="single" w:color="auto" w:sz="4" w:space="0"/>
              <w:left w:val="single" w:color="auto" w:sz="4" w:space="0"/>
              <w:bottom w:val="single" w:color="auto" w:sz="4" w:space="0"/>
              <w:right w:val="single" w:color="auto" w:sz="4" w:space="0"/>
            </w:tcBorders>
            <w:vAlign w:val="center"/>
          </w:tcPr>
          <w:p w14:paraId="1ADAF757">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5D4F95C0">
            <w:pPr>
              <w:spacing w:after="0" w:line="240" w:lineRule="auto"/>
              <w:jc w:val="center"/>
              <w:rPr>
                <w:rFonts w:ascii="Times New Roman" w:hAnsi="Times New Roman"/>
                <w:szCs w:val="24"/>
              </w:rPr>
            </w:pPr>
            <w:r>
              <w:rPr>
                <w:rFonts w:ascii="Times New Roman" w:hAnsi="Times New Roman"/>
                <w:szCs w:val="24"/>
              </w:rPr>
              <w:t>X</w:t>
            </w:r>
          </w:p>
        </w:tc>
      </w:tr>
      <w:tr w14:paraId="4C0D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blHeader/>
        </w:trPr>
        <w:tc>
          <w:tcPr>
            <w:tcW w:w="1276" w:type="dxa"/>
            <w:tcBorders>
              <w:top w:val="single" w:color="auto" w:sz="4" w:space="0"/>
              <w:left w:val="single" w:color="auto" w:sz="4" w:space="0"/>
              <w:bottom w:val="single" w:color="auto" w:sz="4" w:space="0"/>
              <w:right w:val="single" w:color="auto" w:sz="4" w:space="0"/>
            </w:tcBorders>
          </w:tcPr>
          <w:p w14:paraId="5A782310">
            <w:pPr>
              <w:spacing w:after="0" w:line="240" w:lineRule="auto"/>
              <w:rPr>
                <w:rFonts w:ascii="Times New Roman" w:hAnsi="Times New Roman"/>
                <w:szCs w:val="24"/>
              </w:rPr>
            </w:pPr>
            <w:r>
              <w:rPr>
                <w:rFonts w:ascii="Times New Roman" w:hAnsi="Times New Roman"/>
                <w:szCs w:val="24"/>
              </w:rPr>
              <w:t>Improved quality of life</w:t>
            </w:r>
          </w:p>
        </w:tc>
        <w:tc>
          <w:tcPr>
            <w:tcW w:w="2589" w:type="dxa"/>
            <w:tcBorders>
              <w:top w:val="single" w:color="auto" w:sz="4" w:space="0"/>
              <w:left w:val="single" w:color="auto" w:sz="4" w:space="0"/>
              <w:bottom w:val="single" w:color="auto" w:sz="4" w:space="0"/>
              <w:right w:val="single" w:color="auto" w:sz="4" w:space="0"/>
            </w:tcBorders>
          </w:tcPr>
          <w:p w14:paraId="4DE60C4E">
            <w:pPr>
              <w:spacing w:after="0" w:line="240" w:lineRule="auto"/>
              <w:rPr>
                <w:rFonts w:ascii="Times New Roman" w:hAnsi="Times New Roman"/>
                <w:szCs w:val="24"/>
              </w:rPr>
            </w:pPr>
            <w:r>
              <w:rPr>
                <w:rFonts w:ascii="Times New Roman" w:hAnsi="Times New Roman"/>
                <w:szCs w:val="24"/>
              </w:rPr>
              <w:t>Elimination of odours resulting from poor waste collection</w:t>
            </w:r>
          </w:p>
        </w:tc>
        <w:tc>
          <w:tcPr>
            <w:tcW w:w="1170" w:type="dxa"/>
            <w:tcBorders>
              <w:top w:val="single" w:color="auto" w:sz="4" w:space="0"/>
              <w:left w:val="single" w:color="auto" w:sz="4" w:space="0"/>
              <w:bottom w:val="single" w:color="auto" w:sz="4" w:space="0"/>
              <w:right w:val="single" w:color="auto" w:sz="4" w:space="0"/>
            </w:tcBorders>
          </w:tcPr>
          <w:p w14:paraId="0D72F0F8">
            <w:pPr>
              <w:spacing w:after="0" w:line="240" w:lineRule="auto"/>
              <w:jc w:val="center"/>
              <w:rPr>
                <w:rFonts w:ascii="Times New Roman" w:hAnsi="Times New Roman"/>
                <w:szCs w:val="24"/>
              </w:rPr>
            </w:pPr>
          </w:p>
        </w:tc>
        <w:tc>
          <w:tcPr>
            <w:tcW w:w="1170" w:type="dxa"/>
            <w:tcBorders>
              <w:top w:val="single" w:color="auto" w:sz="4" w:space="0"/>
              <w:left w:val="single" w:color="auto" w:sz="4" w:space="0"/>
              <w:bottom w:val="single" w:color="auto" w:sz="4" w:space="0"/>
              <w:right w:val="single" w:color="auto" w:sz="4" w:space="0"/>
            </w:tcBorders>
          </w:tcPr>
          <w:p w14:paraId="0D930B66">
            <w:pPr>
              <w:spacing w:after="0" w:line="240" w:lineRule="auto"/>
              <w:jc w:val="center"/>
              <w:rPr>
                <w:rFonts w:ascii="Times New Roman" w:hAnsi="Times New Roman"/>
                <w:szCs w:val="24"/>
              </w:rPr>
            </w:pPr>
            <w:r>
              <w:rPr>
                <w:rFonts w:ascii="Times New Roman" w:hAnsi="Times New Roman"/>
                <w:szCs w:val="24"/>
              </w:rPr>
              <w:t>X</w:t>
            </w:r>
          </w:p>
        </w:tc>
        <w:tc>
          <w:tcPr>
            <w:tcW w:w="1170" w:type="dxa"/>
            <w:tcBorders>
              <w:top w:val="single" w:color="auto" w:sz="4" w:space="0"/>
              <w:left w:val="single" w:color="auto" w:sz="4" w:space="0"/>
              <w:bottom w:val="single" w:color="auto" w:sz="4" w:space="0"/>
              <w:right w:val="single" w:color="auto" w:sz="4" w:space="0"/>
            </w:tcBorders>
          </w:tcPr>
          <w:p w14:paraId="5D290F76">
            <w:pPr>
              <w:spacing w:after="0" w:line="240" w:lineRule="auto"/>
              <w:jc w:val="center"/>
              <w:rPr>
                <w:rFonts w:ascii="Times New Roman" w:hAnsi="Times New Roman"/>
                <w:szCs w:val="24"/>
              </w:rPr>
            </w:pPr>
          </w:p>
        </w:tc>
        <w:tc>
          <w:tcPr>
            <w:tcW w:w="995" w:type="dxa"/>
            <w:tcBorders>
              <w:top w:val="single" w:color="auto" w:sz="4" w:space="0"/>
              <w:left w:val="single" w:color="auto" w:sz="4" w:space="0"/>
              <w:bottom w:val="single" w:color="auto" w:sz="4" w:space="0"/>
              <w:right w:val="single" w:color="auto" w:sz="4" w:space="0"/>
            </w:tcBorders>
            <w:vAlign w:val="center"/>
          </w:tcPr>
          <w:p w14:paraId="0B42FFAE">
            <w:pPr>
              <w:spacing w:after="0" w:line="240" w:lineRule="auto"/>
              <w:jc w:val="center"/>
              <w:rPr>
                <w:rFonts w:ascii="Times New Roman" w:hAnsi="Times New Roman"/>
                <w:szCs w:val="24"/>
              </w:rPr>
            </w:pPr>
            <w:r>
              <w:rPr>
                <w:rFonts w:ascii="Times New Roman" w:hAnsi="Times New Roman"/>
                <w:szCs w:val="24"/>
              </w:rPr>
              <w:t>X</w:t>
            </w:r>
          </w:p>
        </w:tc>
        <w:tc>
          <w:tcPr>
            <w:tcW w:w="1080" w:type="dxa"/>
            <w:tcBorders>
              <w:top w:val="single" w:color="auto" w:sz="4" w:space="0"/>
              <w:left w:val="single" w:color="auto" w:sz="4" w:space="0"/>
              <w:bottom w:val="single" w:color="auto" w:sz="4" w:space="0"/>
              <w:right w:val="single" w:color="auto" w:sz="4" w:space="0"/>
            </w:tcBorders>
            <w:vAlign w:val="center"/>
          </w:tcPr>
          <w:p w14:paraId="24577993">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4ADFBB31">
            <w:pPr>
              <w:spacing w:after="0" w:line="240" w:lineRule="auto"/>
              <w:jc w:val="center"/>
              <w:rPr>
                <w:rFonts w:ascii="Times New Roman" w:hAnsi="Times New Roman"/>
                <w:szCs w:val="24"/>
              </w:rPr>
            </w:pPr>
            <w:r>
              <w:rPr>
                <w:rFonts w:ascii="Times New Roman" w:hAnsi="Times New Roman"/>
                <w:szCs w:val="24"/>
              </w:rPr>
              <w:t>X</w:t>
            </w:r>
          </w:p>
        </w:tc>
        <w:tc>
          <w:tcPr>
            <w:tcW w:w="1080" w:type="dxa"/>
            <w:tcBorders>
              <w:top w:val="single" w:color="auto" w:sz="4" w:space="0"/>
              <w:left w:val="single" w:color="auto" w:sz="4" w:space="0"/>
              <w:bottom w:val="single" w:color="auto" w:sz="4" w:space="0"/>
              <w:right w:val="single" w:color="auto" w:sz="4" w:space="0"/>
            </w:tcBorders>
            <w:vAlign w:val="center"/>
          </w:tcPr>
          <w:p w14:paraId="041D28E3">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6DB63706">
            <w:pPr>
              <w:spacing w:after="0" w:line="240" w:lineRule="auto"/>
              <w:jc w:val="center"/>
              <w:rPr>
                <w:rFonts w:ascii="Times New Roman" w:hAnsi="Times New Roman"/>
                <w:szCs w:val="24"/>
              </w:rPr>
            </w:pPr>
          </w:p>
        </w:tc>
        <w:tc>
          <w:tcPr>
            <w:tcW w:w="1160" w:type="dxa"/>
            <w:tcBorders>
              <w:top w:val="single" w:color="auto" w:sz="4" w:space="0"/>
              <w:left w:val="single" w:color="auto" w:sz="4" w:space="0"/>
              <w:bottom w:val="single" w:color="auto" w:sz="4" w:space="0"/>
              <w:right w:val="single" w:color="auto" w:sz="4" w:space="0"/>
            </w:tcBorders>
            <w:vAlign w:val="center"/>
          </w:tcPr>
          <w:p w14:paraId="0269C19E">
            <w:pPr>
              <w:spacing w:after="0" w:line="240" w:lineRule="auto"/>
              <w:jc w:val="center"/>
              <w:rPr>
                <w:rFonts w:ascii="Times New Roman" w:hAnsi="Times New Roman"/>
                <w:szCs w:val="24"/>
              </w:rPr>
            </w:pPr>
          </w:p>
        </w:tc>
        <w:tc>
          <w:tcPr>
            <w:tcW w:w="820" w:type="dxa"/>
            <w:tcBorders>
              <w:top w:val="single" w:color="auto" w:sz="4" w:space="0"/>
              <w:left w:val="single" w:color="auto" w:sz="4" w:space="0"/>
              <w:bottom w:val="single" w:color="auto" w:sz="4" w:space="0"/>
              <w:right w:val="single" w:color="auto" w:sz="4" w:space="0"/>
            </w:tcBorders>
            <w:vAlign w:val="center"/>
          </w:tcPr>
          <w:p w14:paraId="2E35752F">
            <w:pPr>
              <w:spacing w:after="0" w:line="240" w:lineRule="auto"/>
              <w:jc w:val="center"/>
              <w:rPr>
                <w:rFonts w:ascii="Times New Roman" w:hAnsi="Times New Roman"/>
                <w:szCs w:val="24"/>
              </w:rPr>
            </w:pPr>
            <w:r>
              <w:rPr>
                <w:rFonts w:ascii="Times New Roman" w:hAnsi="Times New Roman"/>
                <w:szCs w:val="24"/>
              </w:rPr>
              <w:t>X</w:t>
            </w:r>
          </w:p>
        </w:tc>
        <w:tc>
          <w:tcPr>
            <w:tcW w:w="810" w:type="dxa"/>
            <w:tcBorders>
              <w:top w:val="single" w:color="auto" w:sz="4" w:space="0"/>
              <w:left w:val="single" w:color="auto" w:sz="4" w:space="0"/>
              <w:bottom w:val="single" w:color="auto" w:sz="4" w:space="0"/>
              <w:right w:val="single" w:color="auto" w:sz="4" w:space="0"/>
            </w:tcBorders>
            <w:vAlign w:val="center"/>
          </w:tcPr>
          <w:p w14:paraId="53DD5B0D">
            <w:pPr>
              <w:spacing w:after="0" w:line="240" w:lineRule="auto"/>
              <w:jc w:val="center"/>
              <w:rPr>
                <w:rFonts w:ascii="Times New Roman" w:hAnsi="Times New Roman"/>
                <w:szCs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6DFADD6F">
            <w:pPr>
              <w:spacing w:after="0" w:line="240" w:lineRule="auto"/>
              <w:jc w:val="center"/>
              <w:rPr>
                <w:rFonts w:ascii="Times New Roman" w:hAnsi="Times New Roman"/>
                <w:szCs w:val="24"/>
              </w:rPr>
            </w:pPr>
            <w:r>
              <w:rPr>
                <w:rFonts w:ascii="Times New Roman" w:hAnsi="Times New Roman"/>
                <w:szCs w:val="24"/>
              </w:rPr>
              <w:t>X</w:t>
            </w:r>
          </w:p>
        </w:tc>
      </w:tr>
    </w:tbl>
    <w:p w14:paraId="49349847">
      <w:pPr>
        <w:keepNext/>
        <w:spacing w:after="200" w:line="240" w:lineRule="auto"/>
        <w:rPr>
          <w:rFonts w:ascii="Times New Roman" w:hAnsi="Times New Roman"/>
          <w:i/>
          <w:iCs/>
          <w:szCs w:val="24"/>
        </w:rPr>
      </w:pPr>
    </w:p>
    <w:p w14:paraId="01C2BA5B">
      <w:pPr>
        <w:spacing w:line="240" w:lineRule="auto"/>
        <w:rPr>
          <w:rFonts w:ascii="Times New Roman" w:hAnsi="Times New Roman"/>
          <w:szCs w:val="24"/>
        </w:rPr>
        <w:sectPr>
          <w:pgSz w:w="16838" w:h="11906" w:orient="landscape"/>
          <w:pgMar w:top="1440" w:right="1440" w:bottom="1440" w:left="1440" w:header="720" w:footer="720" w:gutter="0"/>
          <w:cols w:space="720" w:num="1"/>
          <w:docGrid w:linePitch="360" w:charSpace="0"/>
        </w:sectPr>
      </w:pPr>
    </w:p>
    <w:p w14:paraId="2673F161">
      <w:pPr>
        <w:pStyle w:val="3"/>
        <w:rPr>
          <w:rFonts w:ascii="Times New Roman" w:hAnsi="Times New Roman" w:cs="Times New Roman"/>
          <w:sz w:val="24"/>
          <w:szCs w:val="24"/>
        </w:rPr>
      </w:pPr>
      <w:bookmarkStart w:id="573" w:name="_Toc428351217"/>
      <w:bookmarkStart w:id="574" w:name="_Toc514144044"/>
      <w:bookmarkStart w:id="575" w:name="_Toc220710862"/>
      <w:bookmarkStart w:id="576" w:name="_Toc17814"/>
      <w:bookmarkStart w:id="577" w:name="_Toc24634"/>
      <w:bookmarkStart w:id="578" w:name="_Toc514235269"/>
      <w:bookmarkStart w:id="579" w:name="_Toc509587719"/>
      <w:bookmarkStart w:id="580" w:name="_Toc18659"/>
      <w:r>
        <w:rPr>
          <w:rFonts w:ascii="Times New Roman" w:hAnsi="Times New Roman" w:cs="Times New Roman"/>
          <w:sz w:val="24"/>
          <w:szCs w:val="24"/>
        </w:rPr>
        <w:t>7.5</w:t>
      </w:r>
      <w:r>
        <w:rPr>
          <w:rFonts w:ascii="Times New Roman" w:hAnsi="Times New Roman" w:cs="Times New Roman"/>
          <w:sz w:val="24"/>
          <w:szCs w:val="24"/>
        </w:rPr>
        <w:tab/>
      </w:r>
      <w:r>
        <w:rPr>
          <w:rFonts w:ascii="Times New Roman" w:hAnsi="Times New Roman" w:cs="Times New Roman"/>
          <w:sz w:val="24"/>
          <w:szCs w:val="24"/>
        </w:rPr>
        <w:t xml:space="preserve">Impacts Emanating from the Proposed </w:t>
      </w:r>
      <w:bookmarkEnd w:id="573"/>
      <w:r>
        <w:rPr>
          <w:rFonts w:ascii="Times New Roman" w:hAnsi="Times New Roman" w:cs="Times New Roman"/>
          <w:sz w:val="24"/>
          <w:szCs w:val="24"/>
        </w:rPr>
        <w:t>Project</w:t>
      </w:r>
      <w:bookmarkEnd w:id="574"/>
      <w:bookmarkEnd w:id="575"/>
      <w:bookmarkEnd w:id="576"/>
      <w:bookmarkEnd w:id="577"/>
      <w:bookmarkEnd w:id="578"/>
      <w:bookmarkEnd w:id="579"/>
      <w:bookmarkEnd w:id="580"/>
    </w:p>
    <w:p w14:paraId="48FFD22F">
      <w:pPr>
        <w:spacing w:line="240" w:lineRule="auto"/>
        <w:jc w:val="both"/>
        <w:rPr>
          <w:rFonts w:ascii="Times New Roman" w:hAnsi="Times New Roman"/>
          <w:szCs w:val="24"/>
        </w:rPr>
      </w:pPr>
      <w:r>
        <w:rPr>
          <w:rFonts w:ascii="Times New Roman" w:hAnsi="Times New Roman"/>
          <w:szCs w:val="24"/>
        </w:rPr>
        <w:t>The impacts are identified at three stages: -</w:t>
      </w:r>
    </w:p>
    <w:p w14:paraId="192F2B8B">
      <w:pPr>
        <w:pStyle w:val="32"/>
        <w:numPr>
          <w:ilvl w:val="0"/>
          <w:numId w:val="48"/>
        </w:numPr>
        <w:spacing w:line="240" w:lineRule="auto"/>
        <w:jc w:val="both"/>
        <w:rPr>
          <w:rFonts w:ascii="Times New Roman" w:hAnsi="Times New Roman"/>
          <w:szCs w:val="24"/>
        </w:rPr>
      </w:pPr>
      <w:r>
        <w:rPr>
          <w:rFonts w:ascii="Times New Roman" w:hAnsi="Times New Roman"/>
          <w:szCs w:val="24"/>
        </w:rPr>
        <w:t xml:space="preserve">Construction </w:t>
      </w:r>
    </w:p>
    <w:p w14:paraId="41A63E80">
      <w:pPr>
        <w:pStyle w:val="32"/>
        <w:numPr>
          <w:ilvl w:val="0"/>
          <w:numId w:val="48"/>
        </w:numPr>
        <w:spacing w:line="240" w:lineRule="auto"/>
        <w:jc w:val="both"/>
        <w:rPr>
          <w:rFonts w:ascii="Times New Roman" w:hAnsi="Times New Roman"/>
          <w:szCs w:val="24"/>
        </w:rPr>
      </w:pPr>
      <w:r>
        <w:rPr>
          <w:rFonts w:ascii="Times New Roman" w:hAnsi="Times New Roman"/>
          <w:szCs w:val="24"/>
        </w:rPr>
        <w:t>Operation phase</w:t>
      </w:r>
    </w:p>
    <w:p w14:paraId="21B88786">
      <w:pPr>
        <w:pStyle w:val="32"/>
        <w:numPr>
          <w:ilvl w:val="0"/>
          <w:numId w:val="48"/>
        </w:numPr>
        <w:spacing w:line="240" w:lineRule="auto"/>
        <w:jc w:val="both"/>
        <w:rPr>
          <w:rFonts w:ascii="Times New Roman" w:hAnsi="Times New Roman"/>
          <w:szCs w:val="24"/>
        </w:rPr>
      </w:pPr>
      <w:r>
        <w:rPr>
          <w:rFonts w:ascii="Times New Roman" w:hAnsi="Times New Roman"/>
          <w:szCs w:val="24"/>
        </w:rPr>
        <w:t xml:space="preserve">Decommissioning </w:t>
      </w:r>
    </w:p>
    <w:p w14:paraId="3F33DD0C">
      <w:pPr>
        <w:spacing w:after="0" w:line="240" w:lineRule="auto"/>
        <w:rPr>
          <w:rFonts w:ascii="Times New Roman" w:hAnsi="Times New Roman"/>
          <w:b/>
          <w:bCs/>
          <w:szCs w:val="24"/>
        </w:rPr>
      </w:pPr>
      <w:bookmarkStart w:id="581" w:name="_Toc192253637"/>
      <w:bookmarkEnd w:id="581"/>
      <w:bookmarkStart w:id="582" w:name="_Toc192253639"/>
      <w:bookmarkEnd w:id="582"/>
      <w:bookmarkStart w:id="583" w:name="_Toc192253638"/>
      <w:bookmarkEnd w:id="583"/>
      <w:bookmarkStart w:id="584" w:name="_Toc514144046"/>
      <w:bookmarkStart w:id="585" w:name="_Toc514235271"/>
      <w:bookmarkStart w:id="586" w:name="_Toc428351219"/>
      <w:bookmarkStart w:id="587" w:name="_Toc509587721"/>
      <w:r>
        <w:rPr>
          <w:rFonts w:ascii="Times New Roman" w:hAnsi="Times New Roman"/>
          <w:b/>
          <w:bCs/>
          <w:szCs w:val="24"/>
        </w:rPr>
        <w:t>7.5.1</w:t>
      </w:r>
      <w:r>
        <w:rPr>
          <w:rFonts w:ascii="Times New Roman" w:hAnsi="Times New Roman"/>
          <w:b/>
          <w:bCs/>
          <w:szCs w:val="24"/>
        </w:rPr>
        <w:tab/>
      </w:r>
      <w:r>
        <w:rPr>
          <w:rFonts w:ascii="Times New Roman" w:hAnsi="Times New Roman"/>
          <w:b/>
          <w:bCs/>
          <w:szCs w:val="24"/>
        </w:rPr>
        <w:t>Construction Phase Impacts</w:t>
      </w:r>
      <w:bookmarkEnd w:id="584"/>
      <w:bookmarkEnd w:id="585"/>
      <w:bookmarkEnd w:id="586"/>
      <w:bookmarkEnd w:id="587"/>
    </w:p>
    <w:p w14:paraId="43B3E622">
      <w:pPr>
        <w:spacing w:after="0" w:line="240" w:lineRule="auto"/>
        <w:jc w:val="both"/>
        <w:rPr>
          <w:rFonts w:ascii="Times New Roman" w:hAnsi="Times New Roman"/>
          <w:szCs w:val="24"/>
        </w:rPr>
      </w:pPr>
      <w:r>
        <w:rPr>
          <w:rFonts w:ascii="Times New Roman" w:hAnsi="Times New Roman"/>
          <w:szCs w:val="24"/>
        </w:rPr>
        <w:t xml:space="preserve">Most of the potential environmental and social impacts associated with the construction phase will be negative and temporary and can be mitigated with the use of standard environmental management procedures. The potential social impacts or nuisance will be those typically associated with construction activities involving vehicles, equipment, and workers. </w:t>
      </w:r>
    </w:p>
    <w:p w14:paraId="679078D8">
      <w:pPr>
        <w:spacing w:line="240" w:lineRule="auto"/>
        <w:jc w:val="both"/>
        <w:rPr>
          <w:rFonts w:ascii="Times New Roman" w:hAnsi="Times New Roman"/>
          <w:szCs w:val="24"/>
        </w:rPr>
      </w:pPr>
      <w:r>
        <w:rPr>
          <w:rFonts w:ascii="Times New Roman" w:hAnsi="Times New Roman"/>
          <w:szCs w:val="24"/>
        </w:rPr>
        <w:t>The predicted impacts of the project include the following:</w:t>
      </w:r>
    </w:p>
    <w:p w14:paraId="2C78F626">
      <w:pPr>
        <w:spacing w:line="240" w:lineRule="auto"/>
        <w:rPr>
          <w:rFonts w:ascii="Times New Roman" w:hAnsi="Times New Roman"/>
          <w:b/>
          <w:bCs/>
          <w:szCs w:val="24"/>
        </w:rPr>
      </w:pPr>
      <w:r>
        <w:rPr>
          <w:rFonts w:ascii="Times New Roman" w:hAnsi="Times New Roman"/>
          <w:b/>
          <w:bCs/>
          <w:szCs w:val="24"/>
        </w:rPr>
        <w:t>Positive Impacts</w:t>
      </w:r>
    </w:p>
    <w:p w14:paraId="3787D710">
      <w:pPr>
        <w:spacing w:line="240" w:lineRule="auto"/>
        <w:jc w:val="both"/>
        <w:rPr>
          <w:rFonts w:ascii="Times New Roman" w:hAnsi="Times New Roman"/>
          <w:szCs w:val="24"/>
        </w:rPr>
      </w:pPr>
      <w:r>
        <w:rPr>
          <w:rFonts w:ascii="Times New Roman" w:hAnsi="Times New Roman"/>
          <w:szCs w:val="24"/>
        </w:rPr>
        <w:t>The primary positive impact of the project during the construction phase will be the creation of employment opportunities for the local communities. This will have the effect of;</w:t>
      </w:r>
    </w:p>
    <w:p w14:paraId="715250AF">
      <w:pPr>
        <w:pStyle w:val="32"/>
        <w:numPr>
          <w:ilvl w:val="0"/>
          <w:numId w:val="49"/>
        </w:numPr>
        <w:spacing w:line="240" w:lineRule="auto"/>
        <w:rPr>
          <w:rFonts w:ascii="Times New Roman" w:hAnsi="Times New Roman"/>
          <w:szCs w:val="24"/>
        </w:rPr>
      </w:pPr>
      <w:r>
        <w:rPr>
          <w:rFonts w:ascii="Times New Roman" w:hAnsi="Times New Roman"/>
          <w:szCs w:val="24"/>
        </w:rPr>
        <w:t xml:space="preserve">Creating employment for both skilled and unskilled labourers directly involving the project. </w:t>
      </w:r>
    </w:p>
    <w:p w14:paraId="7DEE3B89">
      <w:pPr>
        <w:pStyle w:val="32"/>
        <w:numPr>
          <w:ilvl w:val="0"/>
          <w:numId w:val="49"/>
        </w:numPr>
        <w:spacing w:line="240" w:lineRule="auto"/>
        <w:rPr>
          <w:rFonts w:ascii="Times New Roman" w:hAnsi="Times New Roman"/>
          <w:szCs w:val="24"/>
        </w:rPr>
      </w:pPr>
      <w:r>
        <w:rPr>
          <w:rFonts w:ascii="Times New Roman" w:hAnsi="Times New Roman"/>
          <w:szCs w:val="24"/>
        </w:rPr>
        <w:t>Creating business opportunities especially for locals as most of them will be involved in small time trades such delivering food to site workers;</w:t>
      </w:r>
    </w:p>
    <w:p w14:paraId="376F019D">
      <w:pPr>
        <w:pStyle w:val="32"/>
        <w:numPr>
          <w:ilvl w:val="0"/>
          <w:numId w:val="49"/>
        </w:numPr>
        <w:spacing w:line="240" w:lineRule="auto"/>
        <w:rPr>
          <w:rFonts w:ascii="Times New Roman" w:hAnsi="Times New Roman"/>
          <w:szCs w:val="24"/>
        </w:rPr>
      </w:pPr>
      <w:r>
        <w:rPr>
          <w:rFonts w:ascii="Times New Roman" w:hAnsi="Times New Roman"/>
          <w:szCs w:val="24"/>
        </w:rPr>
        <w:t>Acting as a source of livelihood for the community members/the youth who will be used to run the project;</w:t>
      </w:r>
    </w:p>
    <w:p w14:paraId="389DADD7">
      <w:pPr>
        <w:pStyle w:val="32"/>
        <w:numPr>
          <w:ilvl w:val="0"/>
          <w:numId w:val="49"/>
        </w:numPr>
        <w:spacing w:line="240" w:lineRule="auto"/>
        <w:rPr>
          <w:rFonts w:ascii="Times New Roman" w:hAnsi="Times New Roman"/>
          <w:szCs w:val="24"/>
        </w:rPr>
      </w:pPr>
      <w:r>
        <w:rPr>
          <w:rFonts w:ascii="Times New Roman" w:hAnsi="Times New Roman"/>
          <w:szCs w:val="24"/>
        </w:rPr>
        <w:t>Acting as a source of income for those supplying materials for the project.</w:t>
      </w:r>
    </w:p>
    <w:p w14:paraId="1422E7BA">
      <w:pPr>
        <w:spacing w:line="240" w:lineRule="auto"/>
        <w:rPr>
          <w:rFonts w:ascii="Times New Roman" w:hAnsi="Times New Roman"/>
          <w:b/>
          <w:bCs/>
          <w:szCs w:val="24"/>
        </w:rPr>
      </w:pPr>
      <w:r>
        <w:rPr>
          <w:rFonts w:ascii="Times New Roman" w:hAnsi="Times New Roman"/>
          <w:b/>
          <w:bCs/>
          <w:szCs w:val="24"/>
        </w:rPr>
        <w:t xml:space="preserve">Negative impacts </w:t>
      </w:r>
    </w:p>
    <w:p w14:paraId="1A207D26">
      <w:pPr>
        <w:spacing w:after="0" w:line="240" w:lineRule="auto"/>
        <w:jc w:val="both"/>
        <w:rPr>
          <w:rFonts w:ascii="Times New Roman" w:hAnsi="Times New Roman"/>
          <w:b/>
          <w:bCs/>
          <w:szCs w:val="24"/>
        </w:rPr>
      </w:pPr>
      <w:r>
        <w:rPr>
          <w:rFonts w:ascii="Times New Roman" w:hAnsi="Times New Roman"/>
          <w:b/>
          <w:bCs/>
          <w:szCs w:val="24"/>
          <w:lang w:val="en-US"/>
        </w:rPr>
        <w:t xml:space="preserve"> </w:t>
      </w:r>
      <w:r>
        <w:rPr>
          <w:rFonts w:ascii="Times New Roman" w:hAnsi="Times New Roman"/>
          <w:b/>
          <w:bCs/>
          <w:szCs w:val="24"/>
        </w:rPr>
        <w:t xml:space="preserve">Air Quality </w:t>
      </w:r>
    </w:p>
    <w:p w14:paraId="6B6DE595">
      <w:pPr>
        <w:spacing w:after="0" w:line="240" w:lineRule="auto"/>
        <w:jc w:val="both"/>
        <w:rPr>
          <w:rFonts w:ascii="Times New Roman" w:hAnsi="Times New Roman"/>
          <w:szCs w:val="24"/>
        </w:rPr>
      </w:pPr>
      <w:r>
        <w:rPr>
          <w:rFonts w:ascii="Times New Roman" w:hAnsi="Times New Roman"/>
          <w:szCs w:val="24"/>
        </w:rPr>
        <w:t>There is expected dust pollution from the site clearance and excavation works. This situation will be mitigated by periodical pouring of water to reduce the harmful effects of dust.</w:t>
      </w:r>
    </w:p>
    <w:p w14:paraId="720D699B">
      <w:pPr>
        <w:spacing w:line="240" w:lineRule="auto"/>
        <w:jc w:val="both"/>
        <w:rPr>
          <w:rFonts w:ascii="Times New Roman" w:hAnsi="Times New Roman"/>
          <w:szCs w:val="24"/>
        </w:rPr>
      </w:pPr>
      <w:r>
        <w:rPr>
          <w:rFonts w:ascii="Times New Roman" w:hAnsi="Times New Roman"/>
          <w:szCs w:val="24"/>
        </w:rPr>
        <w:t>Passage of increased number of vehicular traffic during construction will introduce higher levels of other pollutants such as emissions of exhaust fumes, lead and associated gases such as carbon monoxide, hydrocarbons, and nitrous oxides from vehicles entering and exiting the site along with the operation of necessary equipment. These will need to be monitored all through the construction period.</w:t>
      </w:r>
    </w:p>
    <w:p w14:paraId="07994F7B">
      <w:pPr>
        <w:spacing w:line="240" w:lineRule="auto"/>
        <w:jc w:val="both"/>
        <w:rPr>
          <w:rFonts w:ascii="Times New Roman" w:hAnsi="Times New Roman"/>
          <w:szCs w:val="24"/>
        </w:rPr>
      </w:pPr>
      <w:r>
        <w:rPr>
          <w:rFonts w:ascii="Times New Roman" w:hAnsi="Times New Roman"/>
          <w:szCs w:val="24"/>
        </w:rPr>
        <w:t>This sustained high level of dust could impact negatively on various groups of the people who spend considerable time within the area adjacent to the project site, such as construction workers and roadside businesses. Construction workers at the project construction site will be exposed to high dust levels under hot and dry environmental conditions for many hours each day. However, being a localised project with short construction timelines, such effects may not have serious long-term health implications on the workers.</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296"/>
      </w:tblGrid>
      <w:tr w14:paraId="2BA7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1F8AD204">
            <w:pPr>
              <w:spacing w:line="240" w:lineRule="auto"/>
              <w:rPr>
                <w:rFonts w:ascii="Times New Roman" w:hAnsi="Times New Roman"/>
                <w:szCs w:val="24"/>
              </w:rPr>
            </w:pPr>
            <w:r>
              <w:rPr>
                <w:rFonts w:ascii="Times New Roman" w:hAnsi="Times New Roman"/>
                <w:szCs w:val="24"/>
              </w:rPr>
              <w:t>Mitigation measures</w:t>
            </w:r>
          </w:p>
        </w:tc>
      </w:tr>
      <w:tr w14:paraId="0B4F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583ECFA8">
            <w:pPr>
              <w:numPr>
                <w:ilvl w:val="0"/>
                <w:numId w:val="50"/>
              </w:numPr>
              <w:spacing w:after="0" w:line="240" w:lineRule="auto"/>
              <w:jc w:val="both"/>
              <w:rPr>
                <w:rFonts w:ascii="Times New Roman" w:hAnsi="Times New Roman"/>
                <w:szCs w:val="24"/>
              </w:rPr>
            </w:pPr>
            <w:r>
              <w:rPr>
                <w:rFonts w:ascii="Times New Roman" w:hAnsi="Times New Roman"/>
                <w:szCs w:val="24"/>
              </w:rPr>
              <w:t>Contractor to provide and enforce use of protective clothing like dust masks by the construction crew.</w:t>
            </w:r>
          </w:p>
          <w:p w14:paraId="7CB144E2">
            <w:pPr>
              <w:numPr>
                <w:ilvl w:val="0"/>
                <w:numId w:val="50"/>
              </w:numPr>
              <w:spacing w:after="0" w:line="240" w:lineRule="auto"/>
              <w:jc w:val="both"/>
              <w:rPr>
                <w:rFonts w:ascii="Times New Roman" w:hAnsi="Times New Roman"/>
                <w:szCs w:val="24"/>
              </w:rPr>
            </w:pPr>
            <w:r>
              <w:rPr>
                <w:rFonts w:ascii="Times New Roman" w:hAnsi="Times New Roman"/>
                <w:szCs w:val="24"/>
              </w:rPr>
              <w:t>All the vehicles and construction machinery should be operated in compliance with relevant vehicle emission standards and manufacturer’s specification to minimize air pollution.</w:t>
            </w:r>
          </w:p>
          <w:p w14:paraId="37AC7EAC">
            <w:pPr>
              <w:numPr>
                <w:ilvl w:val="0"/>
                <w:numId w:val="50"/>
              </w:numPr>
              <w:spacing w:after="0" w:line="240" w:lineRule="auto"/>
              <w:jc w:val="both"/>
              <w:rPr>
                <w:rFonts w:ascii="Times New Roman" w:hAnsi="Times New Roman"/>
                <w:szCs w:val="24"/>
              </w:rPr>
            </w:pPr>
            <w:r>
              <w:rPr>
                <w:rFonts w:ascii="Times New Roman" w:hAnsi="Times New Roman"/>
                <w:szCs w:val="24"/>
              </w:rPr>
              <w:t>Workers shall be trained on management of air pollution from vehicles and machinery. All construction machinery shall be maintained and serviced</w:t>
            </w:r>
          </w:p>
          <w:p w14:paraId="6F846DF7">
            <w:pPr>
              <w:numPr>
                <w:ilvl w:val="0"/>
                <w:numId w:val="50"/>
              </w:numPr>
              <w:spacing w:after="0" w:line="240" w:lineRule="auto"/>
              <w:jc w:val="both"/>
              <w:rPr>
                <w:rFonts w:ascii="Times New Roman" w:hAnsi="Times New Roman"/>
                <w:szCs w:val="24"/>
              </w:rPr>
            </w:pPr>
            <w:r>
              <w:rPr>
                <w:rFonts w:ascii="Times New Roman" w:hAnsi="Times New Roman"/>
                <w:szCs w:val="24"/>
              </w:rPr>
              <w:t>Contractor shall comply to the provisions of EMCA 2015 (Air Quality Regulations ,2014);</w:t>
            </w:r>
          </w:p>
          <w:p w14:paraId="467B82A2">
            <w:pPr>
              <w:pStyle w:val="32"/>
              <w:numPr>
                <w:ilvl w:val="0"/>
                <w:numId w:val="50"/>
              </w:numPr>
              <w:spacing w:after="0" w:line="240" w:lineRule="auto"/>
              <w:rPr>
                <w:rFonts w:ascii="Times New Roman" w:hAnsi="Times New Roman"/>
                <w:szCs w:val="24"/>
              </w:rPr>
            </w:pPr>
          </w:p>
        </w:tc>
      </w:tr>
    </w:tbl>
    <w:p w14:paraId="7E8507E6">
      <w:pPr>
        <w:spacing w:line="240" w:lineRule="auto"/>
        <w:rPr>
          <w:rFonts w:ascii="Times New Roman" w:hAnsi="Times New Roman"/>
          <w:szCs w:val="24"/>
        </w:rPr>
      </w:pPr>
    </w:p>
    <w:p w14:paraId="508D0D19">
      <w:pPr>
        <w:spacing w:after="0" w:line="240" w:lineRule="auto"/>
        <w:rPr>
          <w:rFonts w:ascii="Times New Roman" w:hAnsi="Times New Roman"/>
          <w:b/>
          <w:bCs/>
          <w:szCs w:val="24"/>
        </w:rPr>
      </w:pPr>
      <w:r>
        <w:rPr>
          <w:rFonts w:ascii="Times New Roman" w:hAnsi="Times New Roman"/>
          <w:b/>
          <w:bCs/>
          <w:szCs w:val="24"/>
        </w:rPr>
        <w:t>Traffic Congestion</w:t>
      </w:r>
    </w:p>
    <w:p w14:paraId="4E3C4C60">
      <w:pPr>
        <w:spacing w:after="0" w:line="240" w:lineRule="auto"/>
        <w:jc w:val="both"/>
        <w:rPr>
          <w:rFonts w:ascii="Times New Roman" w:hAnsi="Times New Roman"/>
          <w:szCs w:val="24"/>
        </w:rPr>
      </w:pPr>
      <w:r>
        <w:rPr>
          <w:rFonts w:ascii="Times New Roman" w:hAnsi="Times New Roman"/>
          <w:szCs w:val="24"/>
        </w:rPr>
        <w:t>Traffic congestion is anticipated from site related traffic from Contractor vehicles. The mitigation measures will be as follows:</w:t>
      </w:r>
    </w:p>
    <w:tbl>
      <w:tblPr>
        <w:tblStyle w:val="7"/>
        <w:tblW w:w="0" w:type="auto"/>
        <w:tblInd w:w="7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301"/>
      </w:tblGrid>
      <w:tr w14:paraId="2665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301" w:type="dxa"/>
            <w:shd w:val="clear" w:color="auto" w:fill="E5B8B7"/>
          </w:tcPr>
          <w:p w14:paraId="7A4AE5F9">
            <w:pPr>
              <w:spacing w:line="240" w:lineRule="auto"/>
              <w:rPr>
                <w:rFonts w:ascii="Times New Roman" w:hAnsi="Times New Roman"/>
                <w:szCs w:val="24"/>
              </w:rPr>
            </w:pPr>
            <w:r>
              <w:rPr>
                <w:rFonts w:ascii="Times New Roman" w:hAnsi="Times New Roman"/>
                <w:szCs w:val="24"/>
              </w:rPr>
              <w:t>Mitigation measures</w:t>
            </w:r>
          </w:p>
        </w:tc>
      </w:tr>
      <w:tr w14:paraId="2D8D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rPr>
          <w:trHeight w:val="557" w:hRule="atLeast"/>
        </w:trPr>
        <w:tc>
          <w:tcPr>
            <w:tcW w:w="8301" w:type="dxa"/>
            <w:shd w:val="clear" w:color="auto" w:fill="E5B8B7"/>
          </w:tcPr>
          <w:p w14:paraId="1ED00648">
            <w:pPr>
              <w:pStyle w:val="32"/>
              <w:numPr>
                <w:ilvl w:val="0"/>
                <w:numId w:val="51"/>
              </w:numPr>
              <w:spacing w:line="240" w:lineRule="auto"/>
              <w:rPr>
                <w:rFonts w:ascii="Times New Roman" w:hAnsi="Times New Roman"/>
                <w:szCs w:val="24"/>
              </w:rPr>
            </w:pPr>
            <w:r>
              <w:rPr>
                <w:rFonts w:ascii="Times New Roman" w:hAnsi="Times New Roman"/>
                <w:szCs w:val="24"/>
              </w:rPr>
              <w:t xml:space="preserve">The Contractor </w:t>
            </w:r>
            <w:r>
              <w:rPr>
                <w:rFonts w:ascii="Times New Roman" w:hAnsi="Times New Roman"/>
                <w:szCs w:val="24"/>
                <w:lang w:val="en-US"/>
              </w:rPr>
              <w:t>will</w:t>
            </w:r>
            <w:r>
              <w:rPr>
                <w:rFonts w:ascii="Times New Roman" w:hAnsi="Times New Roman"/>
                <w:szCs w:val="24"/>
              </w:rPr>
              <w:t xml:space="preserve"> provide temporary road signs or notices to indicate ongoing work</w:t>
            </w:r>
          </w:p>
        </w:tc>
      </w:tr>
    </w:tbl>
    <w:p w14:paraId="327C2F4E">
      <w:pPr>
        <w:spacing w:after="0" w:line="240" w:lineRule="auto"/>
        <w:rPr>
          <w:rFonts w:ascii="Times New Roman" w:hAnsi="Times New Roman"/>
          <w:b/>
          <w:bCs/>
          <w:szCs w:val="24"/>
        </w:rPr>
      </w:pPr>
      <w:r>
        <w:rPr>
          <w:rFonts w:ascii="Times New Roman" w:hAnsi="Times New Roman"/>
          <w:b/>
          <w:bCs/>
          <w:szCs w:val="24"/>
        </w:rPr>
        <w:t xml:space="preserve">Solid and Liquid Waste Generation </w:t>
      </w:r>
    </w:p>
    <w:p w14:paraId="612F8D10">
      <w:pPr>
        <w:spacing w:after="0" w:line="240" w:lineRule="auto"/>
        <w:jc w:val="both"/>
        <w:rPr>
          <w:rFonts w:ascii="Times New Roman" w:hAnsi="Times New Roman"/>
          <w:szCs w:val="24"/>
        </w:rPr>
      </w:pPr>
      <w:r>
        <w:rPr>
          <w:rFonts w:ascii="Times New Roman" w:hAnsi="Times New Roman"/>
          <w:szCs w:val="24"/>
        </w:rPr>
        <w:t xml:space="preserve">There is a wide variety of waste generated during construction. This includes debris, timber, stones, rock, metals, paper, plastics, etc. The quantity of waste can be substantial and can be both a health hazard and an eyesore. It also poses the potential for contamination of soils and watercourses because of improper disposal of liquid and solid waste from construction activities. </w:t>
      </w:r>
    </w:p>
    <w:p w14:paraId="784394D2">
      <w:pPr>
        <w:spacing w:line="240" w:lineRule="auto"/>
        <w:jc w:val="both"/>
        <w:rPr>
          <w:rFonts w:ascii="Times New Roman" w:hAnsi="Times New Roman"/>
          <w:szCs w:val="24"/>
        </w:rPr>
      </w:pPr>
      <w:r>
        <w:rPr>
          <w:rFonts w:ascii="Times New Roman" w:hAnsi="Times New Roman"/>
          <w:szCs w:val="24"/>
        </w:rPr>
        <w:t>Careless disposal of used containers for oil, lubricants, paint, and other toxic substances may land in the hands of such individuals who will use them as water containers with grave consequences to health.</w:t>
      </w:r>
    </w:p>
    <w:p w14:paraId="53B13FB6">
      <w:pPr>
        <w:spacing w:line="240" w:lineRule="auto"/>
        <w:jc w:val="both"/>
        <w:rPr>
          <w:rFonts w:ascii="Times New Roman" w:hAnsi="Times New Roman"/>
          <w:szCs w:val="24"/>
        </w:rPr>
      </w:pPr>
      <w:r>
        <w:rPr>
          <w:rFonts w:ascii="Times New Roman" w:hAnsi="Times New Roman"/>
          <w:szCs w:val="24"/>
        </w:rPr>
        <w:t>There is increased likelihood of littering from increased traffic movement during operations. Some of this litter could be plastic and when ingested by livestock, can cause health hazards.</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Layout w:type="fixed"/>
        <w:tblCellMar>
          <w:top w:w="0" w:type="dxa"/>
          <w:left w:w="108" w:type="dxa"/>
          <w:bottom w:w="0" w:type="dxa"/>
          <w:right w:w="108" w:type="dxa"/>
        </w:tblCellMar>
      </w:tblPr>
      <w:tblGrid>
        <w:gridCol w:w="8296"/>
      </w:tblGrid>
      <w:tr w14:paraId="0381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51E61A09">
            <w:pPr>
              <w:spacing w:line="240" w:lineRule="auto"/>
              <w:rPr>
                <w:rFonts w:ascii="Times New Roman" w:hAnsi="Times New Roman"/>
                <w:szCs w:val="24"/>
              </w:rPr>
            </w:pPr>
            <w:r>
              <w:rPr>
                <w:rFonts w:ascii="Times New Roman" w:hAnsi="Times New Roman"/>
                <w:szCs w:val="24"/>
              </w:rPr>
              <w:t>Mitigation measures:</w:t>
            </w:r>
          </w:p>
        </w:tc>
      </w:tr>
      <w:tr w14:paraId="67F0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1E1E2690">
            <w:pPr>
              <w:pStyle w:val="32"/>
              <w:numPr>
                <w:ilvl w:val="0"/>
                <w:numId w:val="52"/>
              </w:numPr>
              <w:spacing w:after="0" w:line="240" w:lineRule="auto"/>
              <w:jc w:val="both"/>
              <w:rPr>
                <w:rFonts w:ascii="Times New Roman" w:hAnsi="Times New Roman"/>
                <w:szCs w:val="24"/>
              </w:rPr>
            </w:pPr>
            <w:r>
              <w:rPr>
                <w:rFonts w:ascii="Times New Roman" w:hAnsi="Times New Roman"/>
                <w:szCs w:val="24"/>
              </w:rPr>
              <w:t>Provide adequate waste disposal facilities. Ensure collection of all solid waste from generation points, safe transportation to a central point where they are sorted out and safely disposed according to type to protect the environmental resources.</w:t>
            </w:r>
          </w:p>
          <w:p w14:paraId="05BA30D7">
            <w:pPr>
              <w:numPr>
                <w:ilvl w:val="0"/>
                <w:numId w:val="52"/>
              </w:numPr>
              <w:spacing w:after="0" w:line="240" w:lineRule="auto"/>
              <w:jc w:val="both"/>
              <w:rPr>
                <w:rFonts w:ascii="Times New Roman" w:hAnsi="Times New Roman"/>
                <w:szCs w:val="24"/>
              </w:rPr>
            </w:pPr>
            <w:r>
              <w:rPr>
                <w:rFonts w:ascii="Times New Roman" w:hAnsi="Times New Roman"/>
                <w:szCs w:val="24"/>
              </w:rPr>
              <w:t xml:space="preserve">Ensure spill kits are provided at the construction sites </w:t>
            </w:r>
          </w:p>
          <w:p w14:paraId="52F0695E">
            <w:pPr>
              <w:numPr>
                <w:ilvl w:val="0"/>
                <w:numId w:val="52"/>
              </w:numPr>
              <w:spacing w:after="0" w:line="240" w:lineRule="auto"/>
              <w:jc w:val="both"/>
              <w:rPr>
                <w:rFonts w:ascii="Times New Roman" w:hAnsi="Times New Roman"/>
                <w:szCs w:val="24"/>
              </w:rPr>
            </w:pPr>
            <w:r>
              <w:rPr>
                <w:rFonts w:ascii="Times New Roman" w:hAnsi="Times New Roman"/>
                <w:szCs w:val="24"/>
              </w:rPr>
              <w:t>Ensure fuels, oils, lubricants and chemicals are stored in impermeable containers and away from surface drains</w:t>
            </w:r>
          </w:p>
          <w:p w14:paraId="6C071D01">
            <w:pPr>
              <w:numPr>
                <w:ilvl w:val="0"/>
                <w:numId w:val="52"/>
              </w:numPr>
              <w:spacing w:after="0" w:line="240" w:lineRule="auto"/>
              <w:jc w:val="both"/>
              <w:rPr>
                <w:rFonts w:ascii="Times New Roman" w:hAnsi="Times New Roman"/>
                <w:szCs w:val="24"/>
              </w:rPr>
            </w:pPr>
            <w:r>
              <w:rPr>
                <w:rFonts w:ascii="Times New Roman" w:hAnsi="Times New Roman"/>
                <w:szCs w:val="24"/>
              </w:rPr>
              <w:t>Ensure that the machines are serviced in specific locations off-site to avoid spillage of oils and grease into the surface runoff channels.</w:t>
            </w:r>
          </w:p>
        </w:tc>
      </w:tr>
    </w:tbl>
    <w:p w14:paraId="131412E6">
      <w:pPr>
        <w:spacing w:line="240" w:lineRule="auto"/>
        <w:rPr>
          <w:rFonts w:ascii="Times New Roman" w:hAnsi="Times New Roman"/>
          <w:szCs w:val="24"/>
        </w:rPr>
      </w:pPr>
    </w:p>
    <w:p w14:paraId="0425B21D">
      <w:pPr>
        <w:pStyle w:val="5"/>
        <w:spacing w:line="240" w:lineRule="auto"/>
      </w:pPr>
      <w:r>
        <w:t xml:space="preserve">Site Related Oil Spills </w:t>
      </w:r>
    </w:p>
    <w:p w14:paraId="352EAA9F">
      <w:pPr>
        <w:spacing w:line="240" w:lineRule="auto"/>
        <w:jc w:val="both"/>
        <w:rPr>
          <w:rFonts w:ascii="Times New Roman" w:hAnsi="Times New Roman"/>
          <w:szCs w:val="24"/>
        </w:rPr>
      </w:pPr>
      <w:r>
        <w:rPr>
          <w:rFonts w:ascii="Times New Roman" w:hAnsi="Times New Roman"/>
          <w:szCs w:val="24"/>
        </w:rPr>
        <w:t>During construction, oil spills may result from construction site equipment and storage, which may affect the flora, fauna, soils, and surface as well as underground water ways in the area after being swept by rainwater into water courses and seeping into the soil.</w:t>
      </w:r>
    </w:p>
    <w:p w14:paraId="5A54766B">
      <w:pPr>
        <w:spacing w:line="240" w:lineRule="auto"/>
        <w:jc w:val="both"/>
        <w:rPr>
          <w:rFonts w:ascii="Times New Roman" w:hAnsi="Times New Roman"/>
          <w:szCs w:val="24"/>
        </w:rPr>
      </w:pPr>
      <w:r>
        <w:rPr>
          <w:rFonts w:ascii="Times New Roman" w:hAnsi="Times New Roman"/>
          <w:szCs w:val="24"/>
        </w:rPr>
        <w:t>If the machinery yard, workshops and labour camps are not properly protected, the roaming animals and birds could be poisoned if they drink contaminated water caused by accidental spillage of oil, petroleum products, solvents and similar category of materials.</w:t>
      </w:r>
    </w:p>
    <w:tbl>
      <w:tblPr>
        <w:tblStyle w:val="7"/>
        <w:tblW w:w="0" w:type="auto"/>
        <w:tblInd w:w="7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301"/>
      </w:tblGrid>
      <w:tr w14:paraId="1172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301" w:type="dxa"/>
            <w:shd w:val="clear" w:color="auto" w:fill="E5B8B7"/>
          </w:tcPr>
          <w:p w14:paraId="754FCCD8">
            <w:pPr>
              <w:spacing w:line="240" w:lineRule="auto"/>
              <w:rPr>
                <w:rFonts w:ascii="Times New Roman" w:hAnsi="Times New Roman"/>
                <w:szCs w:val="24"/>
              </w:rPr>
            </w:pPr>
            <w:r>
              <w:rPr>
                <w:rFonts w:ascii="Times New Roman" w:hAnsi="Times New Roman"/>
                <w:szCs w:val="24"/>
              </w:rPr>
              <w:t>Mitigation Measures</w:t>
            </w:r>
          </w:p>
        </w:tc>
      </w:tr>
      <w:tr w14:paraId="536D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rPr>
          <w:trHeight w:val="274" w:hRule="atLeast"/>
        </w:trPr>
        <w:tc>
          <w:tcPr>
            <w:tcW w:w="8301" w:type="dxa"/>
            <w:shd w:val="clear" w:color="auto" w:fill="E5B8B7"/>
          </w:tcPr>
          <w:p w14:paraId="71123C0F">
            <w:pPr>
              <w:pStyle w:val="32"/>
              <w:numPr>
                <w:ilvl w:val="0"/>
                <w:numId w:val="51"/>
              </w:numPr>
              <w:spacing w:after="0" w:line="240" w:lineRule="auto"/>
              <w:jc w:val="both"/>
              <w:rPr>
                <w:rFonts w:ascii="Times New Roman" w:hAnsi="Times New Roman"/>
                <w:szCs w:val="24"/>
              </w:rPr>
            </w:pPr>
            <w:r>
              <w:rPr>
                <w:rFonts w:ascii="Times New Roman" w:hAnsi="Times New Roman"/>
                <w:szCs w:val="24"/>
              </w:rPr>
              <w:t xml:space="preserve">The Contractor should ensure that the employees on site are aware of the company procedures for dealing with spills and leaks e.g. using dispersants or adding biological agents to speed up the oil breakdown for the construction machinery though induction and safety training (the contractor will propose a method of clean-up which will be subject to approval); </w:t>
            </w:r>
          </w:p>
          <w:p w14:paraId="6396F000">
            <w:pPr>
              <w:pStyle w:val="32"/>
              <w:numPr>
                <w:ilvl w:val="0"/>
                <w:numId w:val="51"/>
              </w:numPr>
              <w:spacing w:after="0" w:line="240" w:lineRule="auto"/>
              <w:jc w:val="both"/>
              <w:rPr>
                <w:rFonts w:ascii="Times New Roman" w:hAnsi="Times New Roman"/>
                <w:szCs w:val="24"/>
              </w:rPr>
            </w:pPr>
            <w:r>
              <w:rPr>
                <w:rFonts w:ascii="Times New Roman" w:hAnsi="Times New Roman"/>
                <w:szCs w:val="24"/>
              </w:rPr>
              <w:t xml:space="preserve">All vehicles and equipment should be kept in good working order, serviced regularly in accordance to the manufacturers specifications and stored in an area approved by the Resident Engineer/Supervising Expert; </w:t>
            </w:r>
          </w:p>
          <w:p w14:paraId="30822736">
            <w:pPr>
              <w:pStyle w:val="32"/>
              <w:numPr>
                <w:ilvl w:val="0"/>
                <w:numId w:val="51"/>
              </w:numPr>
              <w:spacing w:after="0" w:line="240" w:lineRule="auto"/>
              <w:jc w:val="both"/>
              <w:rPr>
                <w:rFonts w:ascii="Times New Roman" w:hAnsi="Times New Roman"/>
                <w:szCs w:val="24"/>
              </w:rPr>
            </w:pPr>
            <w:r>
              <w:rPr>
                <w:rFonts w:ascii="Times New Roman" w:hAnsi="Times New Roman"/>
                <w:szCs w:val="24"/>
              </w:rPr>
              <w:t>Ensure spill kits are provided at the construction sites</w:t>
            </w:r>
          </w:p>
          <w:p w14:paraId="0C271C16">
            <w:pPr>
              <w:numPr>
                <w:ilvl w:val="0"/>
                <w:numId w:val="51"/>
              </w:numPr>
              <w:spacing w:after="0" w:line="240" w:lineRule="auto"/>
              <w:jc w:val="both"/>
              <w:rPr>
                <w:rFonts w:ascii="Times New Roman" w:hAnsi="Times New Roman"/>
                <w:szCs w:val="24"/>
              </w:rPr>
            </w:pPr>
            <w:r>
              <w:rPr>
                <w:rFonts w:ascii="Times New Roman" w:hAnsi="Times New Roman"/>
                <w:szCs w:val="24"/>
              </w:rPr>
              <w:t>Ensure fuels, oils, lubricants and chemicals are stored are stored in impermeable containers and away from surface drains</w:t>
            </w:r>
          </w:p>
        </w:tc>
      </w:tr>
    </w:tbl>
    <w:p w14:paraId="1D773449">
      <w:pPr>
        <w:spacing w:line="240" w:lineRule="auto"/>
        <w:rPr>
          <w:rFonts w:ascii="Times New Roman" w:hAnsi="Times New Roman"/>
          <w:szCs w:val="24"/>
        </w:rPr>
      </w:pPr>
    </w:p>
    <w:p w14:paraId="011DA0E0">
      <w:pPr>
        <w:pStyle w:val="5"/>
        <w:spacing w:line="240" w:lineRule="auto"/>
      </w:pPr>
      <w:r>
        <w:t>Impacts on Existing Water Resources (Water Quality)</w:t>
      </w:r>
    </w:p>
    <w:p w14:paraId="68B1685F">
      <w:pPr>
        <w:spacing w:line="240" w:lineRule="auto"/>
        <w:jc w:val="both"/>
        <w:rPr>
          <w:rFonts w:ascii="Times New Roman" w:hAnsi="Times New Roman"/>
          <w:szCs w:val="24"/>
        </w:rPr>
      </w:pPr>
      <w:r>
        <w:rPr>
          <w:rFonts w:ascii="Times New Roman" w:hAnsi="Times New Roman"/>
          <w:szCs w:val="24"/>
        </w:rPr>
        <w:t xml:space="preserve">Oil spills and grease generation by construction traffic as well as traffic during operation could lead to pollution by altering the chemical and biological characteristics of surface and ground water resources. This may occur when spilled compounds are swept by rain water from the construction sites, traffic routes and contractor’s camp and into water courses. </w:t>
      </w:r>
    </w:p>
    <w:p w14:paraId="78FDEAC9">
      <w:pPr>
        <w:spacing w:line="240" w:lineRule="auto"/>
        <w:jc w:val="both"/>
        <w:rPr>
          <w:rFonts w:ascii="Times New Roman" w:hAnsi="Times New Roman"/>
          <w:szCs w:val="24"/>
        </w:rPr>
      </w:pPr>
      <w:r>
        <w:rPr>
          <w:rFonts w:ascii="Times New Roman" w:hAnsi="Times New Roman"/>
          <w:szCs w:val="24"/>
        </w:rPr>
        <w:t>There is potential for contamination of water resources because of improper disposal of liquid and solid waste from construction activities and construction camps. No sources of water, shallow wells or otherwise were identified near the ablution block site. The impacts on water sources are therefore expected to be minimal.</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296"/>
      </w:tblGrid>
      <w:tr w14:paraId="6CD7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E5B8B7"/>
          </w:tcPr>
          <w:p w14:paraId="40252A5D">
            <w:pPr>
              <w:spacing w:line="240" w:lineRule="auto"/>
              <w:rPr>
                <w:rFonts w:ascii="Times New Roman" w:hAnsi="Times New Roman"/>
                <w:szCs w:val="24"/>
              </w:rPr>
            </w:pPr>
            <w:r>
              <w:rPr>
                <w:rFonts w:ascii="Times New Roman" w:hAnsi="Times New Roman"/>
                <w:szCs w:val="24"/>
              </w:rPr>
              <w:t>Mitigation Measures</w:t>
            </w:r>
          </w:p>
        </w:tc>
      </w:tr>
      <w:tr w14:paraId="3958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109B0E2A">
            <w:pPr>
              <w:pStyle w:val="32"/>
              <w:numPr>
                <w:ilvl w:val="0"/>
                <w:numId w:val="51"/>
              </w:numPr>
              <w:spacing w:after="0" w:line="240" w:lineRule="auto"/>
              <w:jc w:val="both"/>
              <w:rPr>
                <w:rFonts w:ascii="Times New Roman" w:hAnsi="Times New Roman"/>
                <w:szCs w:val="24"/>
              </w:rPr>
            </w:pPr>
            <w:r>
              <w:rPr>
                <w:rFonts w:ascii="Times New Roman" w:hAnsi="Times New Roman"/>
                <w:szCs w:val="24"/>
              </w:rPr>
              <w:t>Areas dedicated for hazardous material storage shall provide spill containment and facilitate clean up through measures such as: maximum separation from sensitive features (water bodies); clear identification of the materials present; access restricted to authorized personnel and vehicles only and dedicated spill response equipment</w:t>
            </w:r>
          </w:p>
          <w:p w14:paraId="277B0C58">
            <w:pPr>
              <w:pStyle w:val="32"/>
              <w:numPr>
                <w:ilvl w:val="0"/>
                <w:numId w:val="51"/>
              </w:numPr>
              <w:spacing w:after="0" w:line="240" w:lineRule="auto"/>
              <w:jc w:val="both"/>
              <w:rPr>
                <w:rFonts w:ascii="Times New Roman" w:hAnsi="Times New Roman"/>
                <w:szCs w:val="24"/>
              </w:rPr>
            </w:pPr>
            <w:r>
              <w:rPr>
                <w:rFonts w:ascii="Times New Roman" w:hAnsi="Times New Roman"/>
                <w:szCs w:val="24"/>
              </w:rPr>
              <w:t xml:space="preserve">Provide solid and liquid waste disposal system - a waste collector, NEMA recommended waste disposal guidelines and waste collection bins </w:t>
            </w:r>
          </w:p>
          <w:p w14:paraId="36955074">
            <w:pPr>
              <w:numPr>
                <w:ilvl w:val="0"/>
                <w:numId w:val="51"/>
              </w:numPr>
              <w:spacing w:after="0" w:line="240" w:lineRule="auto"/>
              <w:jc w:val="both"/>
              <w:rPr>
                <w:rFonts w:ascii="Times New Roman" w:hAnsi="Times New Roman"/>
                <w:szCs w:val="24"/>
              </w:rPr>
            </w:pPr>
            <w:r>
              <w:rPr>
                <w:rFonts w:ascii="Times New Roman" w:hAnsi="Times New Roman"/>
                <w:szCs w:val="24"/>
              </w:rPr>
              <w:t>Ensure fuels, oils, lubricants and chemicals are stored are stored in impermeable containers and away from surface drains</w:t>
            </w:r>
          </w:p>
          <w:p w14:paraId="193C4CBB">
            <w:pPr>
              <w:numPr>
                <w:ilvl w:val="0"/>
                <w:numId w:val="51"/>
              </w:numPr>
              <w:spacing w:after="0" w:line="240" w:lineRule="auto"/>
              <w:jc w:val="both"/>
              <w:rPr>
                <w:rFonts w:ascii="Times New Roman" w:hAnsi="Times New Roman"/>
                <w:szCs w:val="24"/>
              </w:rPr>
            </w:pPr>
            <w:r>
              <w:rPr>
                <w:rFonts w:ascii="Times New Roman" w:hAnsi="Times New Roman"/>
                <w:szCs w:val="24"/>
              </w:rPr>
              <w:t>Ensure that the machines are serviced in specific locations off-site to avoid spillage of oils and grease into the surface runoff channels.</w:t>
            </w:r>
          </w:p>
        </w:tc>
      </w:tr>
    </w:tbl>
    <w:p w14:paraId="1049A6DC">
      <w:pPr>
        <w:spacing w:after="0" w:line="240" w:lineRule="auto"/>
        <w:rPr>
          <w:rFonts w:ascii="Times New Roman" w:hAnsi="Times New Roman"/>
          <w:b/>
          <w:bCs/>
          <w:szCs w:val="24"/>
        </w:rPr>
      </w:pPr>
      <w:r>
        <w:rPr>
          <w:rFonts w:ascii="Times New Roman" w:hAnsi="Times New Roman"/>
          <w:b/>
          <w:bCs/>
          <w:szCs w:val="24"/>
        </w:rPr>
        <w:t>Noise Pollution</w:t>
      </w:r>
    </w:p>
    <w:p w14:paraId="7492F187">
      <w:pPr>
        <w:spacing w:after="0" w:line="240" w:lineRule="auto"/>
        <w:jc w:val="both"/>
        <w:rPr>
          <w:rFonts w:ascii="Times New Roman" w:hAnsi="Times New Roman"/>
          <w:szCs w:val="24"/>
        </w:rPr>
      </w:pPr>
      <w:r>
        <w:rPr>
          <w:rFonts w:ascii="Times New Roman" w:hAnsi="Times New Roman"/>
          <w:szCs w:val="24"/>
        </w:rPr>
        <w:t xml:space="preserve">Noise generation and vibrations from construction machinery and activities could adversely affect the local people. Activities associated with construction will cause increase in noise levels in the vicinity of the construction sites. This impact can be of concern at construction sites within the larger urban environments </w:t>
      </w:r>
    </w:p>
    <w:p w14:paraId="4448BD4E">
      <w:pPr>
        <w:spacing w:line="240" w:lineRule="auto"/>
        <w:jc w:val="both"/>
        <w:rPr>
          <w:rFonts w:ascii="Times New Roman" w:hAnsi="Times New Roman"/>
          <w:szCs w:val="24"/>
        </w:rPr>
      </w:pPr>
      <w:r>
        <w:rPr>
          <w:rFonts w:ascii="Times New Roman" w:hAnsi="Times New Roman"/>
          <w:szCs w:val="24"/>
        </w:rPr>
        <w:t xml:space="preserve">Generally, construction noise exceeding a noise level of 70 decibels (dB) has significant impacts on surrounding sensitive receptors within 50m of the construction site. </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296"/>
      </w:tblGrid>
      <w:tr w14:paraId="6CAB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35933D84">
            <w:pPr>
              <w:spacing w:line="240" w:lineRule="auto"/>
              <w:rPr>
                <w:rFonts w:ascii="Times New Roman" w:hAnsi="Times New Roman"/>
                <w:szCs w:val="24"/>
              </w:rPr>
            </w:pPr>
            <w:r>
              <w:rPr>
                <w:rFonts w:ascii="Times New Roman" w:hAnsi="Times New Roman"/>
                <w:szCs w:val="24"/>
              </w:rPr>
              <w:t>Mitigation:</w:t>
            </w:r>
          </w:p>
        </w:tc>
      </w:tr>
      <w:tr w14:paraId="33E2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14B8091F">
            <w:pPr>
              <w:pStyle w:val="32"/>
              <w:numPr>
                <w:ilvl w:val="0"/>
                <w:numId w:val="53"/>
              </w:numPr>
              <w:spacing w:line="240" w:lineRule="auto"/>
              <w:rPr>
                <w:rFonts w:ascii="Times New Roman" w:hAnsi="Times New Roman"/>
                <w:szCs w:val="24"/>
              </w:rPr>
            </w:pPr>
            <w:r>
              <w:rPr>
                <w:rFonts w:ascii="Times New Roman" w:hAnsi="Times New Roman"/>
                <w:szCs w:val="24"/>
              </w:rPr>
              <w:t>Construction activities to be scheduled carefully to minimize the impact of noise from construction machinery.</w:t>
            </w:r>
          </w:p>
          <w:p w14:paraId="73429F88">
            <w:pPr>
              <w:pStyle w:val="32"/>
              <w:numPr>
                <w:ilvl w:val="0"/>
                <w:numId w:val="53"/>
              </w:numPr>
              <w:spacing w:after="0" w:line="240" w:lineRule="auto"/>
              <w:rPr>
                <w:rFonts w:ascii="Times New Roman" w:hAnsi="Times New Roman"/>
                <w:szCs w:val="24"/>
              </w:rPr>
            </w:pPr>
            <w:r>
              <w:rPr>
                <w:rFonts w:ascii="Times New Roman" w:hAnsi="Times New Roman"/>
                <w:szCs w:val="24"/>
              </w:rPr>
              <w:t>Contractor to strictly adhere to the Excessive Noise and Vibrations (Control) Regulations, 2009.</w:t>
            </w:r>
          </w:p>
          <w:p w14:paraId="5DEF2A3A">
            <w:pPr>
              <w:pStyle w:val="32"/>
              <w:numPr>
                <w:ilvl w:val="0"/>
                <w:numId w:val="53"/>
              </w:numPr>
              <w:spacing w:after="0" w:line="240" w:lineRule="auto"/>
              <w:rPr>
                <w:rFonts w:ascii="Times New Roman" w:hAnsi="Times New Roman"/>
                <w:szCs w:val="24"/>
              </w:rPr>
            </w:pPr>
            <w:r>
              <w:rPr>
                <w:rFonts w:ascii="Times New Roman" w:hAnsi="Times New Roman"/>
                <w:szCs w:val="24"/>
              </w:rPr>
              <w:t>Where possible, ensure non-mechanized construction to reduce the use of machinery</w:t>
            </w:r>
          </w:p>
          <w:p w14:paraId="3B33DCCB">
            <w:pPr>
              <w:pStyle w:val="32"/>
              <w:numPr>
                <w:ilvl w:val="0"/>
                <w:numId w:val="53"/>
              </w:numPr>
              <w:spacing w:after="0" w:line="240" w:lineRule="auto"/>
              <w:rPr>
                <w:rFonts w:ascii="Times New Roman" w:hAnsi="Times New Roman"/>
                <w:szCs w:val="24"/>
              </w:rPr>
            </w:pPr>
            <w:r>
              <w:rPr>
                <w:rFonts w:ascii="Times New Roman" w:hAnsi="Times New Roman"/>
                <w:szCs w:val="24"/>
              </w:rPr>
              <w:t>Positioning Powered Mechanical Equipment (PME) so that noise is directed away from sensitive areas;</w:t>
            </w:r>
          </w:p>
          <w:p w14:paraId="4FAA3CE6">
            <w:pPr>
              <w:pStyle w:val="32"/>
              <w:numPr>
                <w:ilvl w:val="0"/>
                <w:numId w:val="53"/>
              </w:numPr>
              <w:spacing w:after="0" w:line="240" w:lineRule="auto"/>
              <w:rPr>
                <w:rFonts w:ascii="Times New Roman" w:hAnsi="Times New Roman"/>
                <w:szCs w:val="24"/>
              </w:rPr>
            </w:pPr>
            <w:r>
              <w:rPr>
                <w:rFonts w:ascii="Times New Roman" w:hAnsi="Times New Roman"/>
                <w:szCs w:val="24"/>
              </w:rPr>
              <w:t>Contractor to prepare for approval by KIMAWASCO a Health Management Plan (HMP) detailing means to protect site workers and community from excessive noise and vibrations</w:t>
            </w:r>
          </w:p>
          <w:p w14:paraId="50EF25A3">
            <w:pPr>
              <w:pStyle w:val="32"/>
              <w:numPr>
                <w:ilvl w:val="0"/>
                <w:numId w:val="53"/>
              </w:numPr>
              <w:spacing w:after="0" w:line="240" w:lineRule="auto"/>
              <w:rPr>
                <w:rFonts w:ascii="Times New Roman" w:hAnsi="Times New Roman"/>
                <w:szCs w:val="24"/>
              </w:rPr>
            </w:pPr>
            <w:r>
              <w:rPr>
                <w:rFonts w:ascii="Times New Roman" w:hAnsi="Times New Roman"/>
                <w:szCs w:val="24"/>
              </w:rPr>
              <w:t>To the extent possible, heavy vehicles should not be used at night across populated areas.</w:t>
            </w:r>
          </w:p>
          <w:p w14:paraId="0183AF24">
            <w:pPr>
              <w:pStyle w:val="32"/>
              <w:numPr>
                <w:ilvl w:val="0"/>
                <w:numId w:val="53"/>
              </w:numPr>
              <w:spacing w:after="0" w:line="240" w:lineRule="auto"/>
              <w:rPr>
                <w:rFonts w:ascii="Times New Roman" w:hAnsi="Times New Roman"/>
                <w:szCs w:val="24"/>
              </w:rPr>
            </w:pPr>
            <w:r>
              <w:rPr>
                <w:rFonts w:ascii="Times New Roman" w:hAnsi="Times New Roman"/>
                <w:szCs w:val="24"/>
              </w:rPr>
              <w:t xml:space="preserve">Ensure that construction equipment is operating optimally and with operational noise mufflers where possible. </w:t>
            </w:r>
          </w:p>
        </w:tc>
      </w:tr>
    </w:tbl>
    <w:p w14:paraId="1AD92CE2">
      <w:pPr>
        <w:spacing w:after="0" w:line="240" w:lineRule="auto"/>
        <w:rPr>
          <w:rFonts w:ascii="Times New Roman" w:hAnsi="Times New Roman"/>
          <w:b/>
          <w:bCs/>
          <w:szCs w:val="24"/>
        </w:rPr>
      </w:pPr>
    </w:p>
    <w:p w14:paraId="189B8740">
      <w:pPr>
        <w:spacing w:after="0" w:line="240" w:lineRule="auto"/>
        <w:rPr>
          <w:rFonts w:ascii="Times New Roman" w:hAnsi="Times New Roman"/>
          <w:b/>
          <w:bCs/>
          <w:szCs w:val="24"/>
        </w:rPr>
      </w:pPr>
      <w:r>
        <w:rPr>
          <w:rFonts w:ascii="Times New Roman" w:hAnsi="Times New Roman"/>
          <w:b/>
          <w:bCs/>
          <w:szCs w:val="24"/>
        </w:rPr>
        <w:t>Occupational Safety and Health Hazards</w:t>
      </w:r>
    </w:p>
    <w:p w14:paraId="21A0535E">
      <w:pPr>
        <w:spacing w:after="0" w:line="240" w:lineRule="auto"/>
        <w:jc w:val="both"/>
        <w:rPr>
          <w:rFonts w:ascii="Times New Roman" w:hAnsi="Times New Roman"/>
          <w:szCs w:val="24"/>
        </w:rPr>
      </w:pPr>
      <w:r>
        <w:rPr>
          <w:rFonts w:ascii="Times New Roman" w:hAnsi="Times New Roman"/>
          <w:szCs w:val="24"/>
        </w:rPr>
        <w:t xml:space="preserve">Construction staff will be exposed to safety hazards arising from construction activities. It is proposed that the projects be located within existing public lands belonging to the county government. The project works will expose workers to occupational risks due to handling of machinery, construction material and noise, electromechanical works etc. </w:t>
      </w:r>
    </w:p>
    <w:p w14:paraId="1EAB0651">
      <w:pPr>
        <w:spacing w:line="240" w:lineRule="auto"/>
        <w:jc w:val="both"/>
        <w:rPr>
          <w:rFonts w:ascii="Times New Roman" w:hAnsi="Times New Roman"/>
          <w:szCs w:val="24"/>
        </w:rPr>
      </w:pPr>
      <w:r>
        <w:rPr>
          <w:rFonts w:ascii="Times New Roman" w:hAnsi="Times New Roman"/>
          <w:szCs w:val="24"/>
        </w:rPr>
        <w:t xml:space="preserve">Construction activities of site clearance, excavation, materials delivery, and concrete mixing as well as construction traffic will generate a lot of dust and this may affect the respiratory system of all site users. </w:t>
      </w:r>
    </w:p>
    <w:p w14:paraId="221E265C">
      <w:pPr>
        <w:spacing w:line="240" w:lineRule="auto"/>
        <w:jc w:val="both"/>
        <w:rPr>
          <w:rFonts w:ascii="Times New Roman" w:hAnsi="Times New Roman"/>
          <w:szCs w:val="24"/>
        </w:rPr>
      </w:pPr>
      <w:r>
        <w:rPr>
          <w:rFonts w:ascii="Times New Roman" w:hAnsi="Times New Roman"/>
          <w:szCs w:val="24"/>
        </w:rPr>
        <w:t xml:space="preserve">Construction sites may be a source of both liquid and solid wastes. If these wastes are not well disposed these sites may become a breeding ground for disease causing pests such as mosquitoes and rodents. </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296"/>
      </w:tblGrid>
      <w:tr w14:paraId="4A2D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79B259D8">
            <w:pPr>
              <w:spacing w:line="240" w:lineRule="auto"/>
              <w:jc w:val="both"/>
              <w:rPr>
                <w:rFonts w:ascii="Times New Roman" w:hAnsi="Times New Roman"/>
                <w:szCs w:val="24"/>
              </w:rPr>
            </w:pPr>
            <w:r>
              <w:rPr>
                <w:rFonts w:ascii="Times New Roman" w:hAnsi="Times New Roman"/>
                <w:szCs w:val="24"/>
              </w:rPr>
              <w:t>Mitigation:</w:t>
            </w:r>
          </w:p>
        </w:tc>
      </w:tr>
      <w:tr w14:paraId="1E0E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E5B8B7"/>
          </w:tcPr>
          <w:p w14:paraId="5396AEAF">
            <w:pPr>
              <w:pStyle w:val="32"/>
              <w:numPr>
                <w:ilvl w:val="0"/>
                <w:numId w:val="54"/>
              </w:numPr>
              <w:spacing w:after="0" w:line="240" w:lineRule="auto"/>
              <w:jc w:val="both"/>
              <w:rPr>
                <w:rFonts w:ascii="Times New Roman" w:hAnsi="Times New Roman"/>
                <w:szCs w:val="24"/>
              </w:rPr>
            </w:pPr>
            <w:r>
              <w:rPr>
                <w:rFonts w:ascii="Times New Roman" w:hAnsi="Times New Roman"/>
                <w:szCs w:val="24"/>
              </w:rPr>
              <w:t>Implement a Health and Safety Plan (HASP) for both civil and electrical works in line with OSHA for approval by KIMAWASCO.</w:t>
            </w:r>
          </w:p>
          <w:p w14:paraId="56B8527A">
            <w:pPr>
              <w:pStyle w:val="32"/>
              <w:numPr>
                <w:ilvl w:val="0"/>
                <w:numId w:val="54"/>
              </w:numPr>
              <w:spacing w:after="0" w:line="240" w:lineRule="auto"/>
              <w:jc w:val="both"/>
              <w:rPr>
                <w:rFonts w:ascii="Times New Roman" w:hAnsi="Times New Roman"/>
                <w:szCs w:val="24"/>
              </w:rPr>
            </w:pPr>
            <w:r>
              <w:rPr>
                <w:rFonts w:ascii="Times New Roman" w:hAnsi="Times New Roman"/>
                <w:szCs w:val="24"/>
              </w:rPr>
              <w:t>Posting and maintaining of clear and prominent warning signage at appropriate potential points of entry to hazardous areas.</w:t>
            </w:r>
          </w:p>
          <w:p w14:paraId="78410987">
            <w:pPr>
              <w:pStyle w:val="32"/>
              <w:numPr>
                <w:ilvl w:val="0"/>
                <w:numId w:val="54"/>
              </w:numPr>
              <w:spacing w:after="0" w:line="240" w:lineRule="auto"/>
              <w:jc w:val="both"/>
              <w:rPr>
                <w:rFonts w:ascii="Times New Roman" w:hAnsi="Times New Roman"/>
                <w:szCs w:val="24"/>
              </w:rPr>
            </w:pPr>
            <w:r>
              <w:rPr>
                <w:rFonts w:ascii="Times New Roman" w:hAnsi="Times New Roman"/>
                <w:szCs w:val="24"/>
              </w:rPr>
              <w:t>Keep verifiable records of all accidents and incidences.</w:t>
            </w:r>
          </w:p>
          <w:p w14:paraId="72177FDE">
            <w:pPr>
              <w:pStyle w:val="32"/>
              <w:numPr>
                <w:ilvl w:val="0"/>
                <w:numId w:val="54"/>
              </w:numPr>
              <w:spacing w:after="0" w:line="240" w:lineRule="auto"/>
              <w:jc w:val="both"/>
              <w:rPr>
                <w:rFonts w:ascii="Times New Roman" w:hAnsi="Times New Roman"/>
                <w:szCs w:val="24"/>
              </w:rPr>
            </w:pPr>
            <w:r>
              <w:rPr>
                <w:rFonts w:ascii="Times New Roman" w:hAnsi="Times New Roman"/>
                <w:szCs w:val="24"/>
              </w:rPr>
              <w:t>Ensure alcohol free work force.</w:t>
            </w:r>
          </w:p>
          <w:p w14:paraId="0A91635C">
            <w:pPr>
              <w:pStyle w:val="32"/>
              <w:numPr>
                <w:ilvl w:val="0"/>
                <w:numId w:val="54"/>
              </w:numPr>
              <w:spacing w:after="0" w:line="240" w:lineRule="auto"/>
              <w:jc w:val="both"/>
              <w:rPr>
                <w:rFonts w:ascii="Times New Roman" w:hAnsi="Times New Roman"/>
                <w:szCs w:val="24"/>
              </w:rPr>
            </w:pPr>
            <w:r>
              <w:rPr>
                <w:rFonts w:ascii="Times New Roman" w:hAnsi="Times New Roman"/>
                <w:szCs w:val="24"/>
              </w:rPr>
              <w:t>Draft operational policies on safety e.g. Alcohol use, speed limits.</w:t>
            </w:r>
          </w:p>
          <w:p w14:paraId="069D6FB5">
            <w:pPr>
              <w:pStyle w:val="32"/>
              <w:numPr>
                <w:ilvl w:val="0"/>
                <w:numId w:val="54"/>
              </w:numPr>
              <w:spacing w:after="0" w:line="240" w:lineRule="auto"/>
              <w:jc w:val="both"/>
              <w:rPr>
                <w:rFonts w:ascii="Times New Roman" w:hAnsi="Times New Roman"/>
                <w:szCs w:val="24"/>
              </w:rPr>
            </w:pPr>
            <w:r>
              <w:rPr>
                <w:rFonts w:ascii="Times New Roman" w:hAnsi="Times New Roman"/>
                <w:szCs w:val="24"/>
              </w:rPr>
              <w:t>Spread awareness among the site neighbourhoods to curb vandalism of safety equipment, signages and other installations.</w:t>
            </w:r>
          </w:p>
          <w:p w14:paraId="1D383096">
            <w:pPr>
              <w:pStyle w:val="32"/>
              <w:numPr>
                <w:ilvl w:val="0"/>
                <w:numId w:val="54"/>
              </w:numPr>
              <w:spacing w:after="0" w:line="240" w:lineRule="auto"/>
              <w:jc w:val="both"/>
              <w:rPr>
                <w:rFonts w:ascii="Times New Roman" w:hAnsi="Times New Roman"/>
                <w:szCs w:val="24"/>
              </w:rPr>
            </w:pPr>
            <w:r>
              <w:rPr>
                <w:rFonts w:ascii="Times New Roman" w:hAnsi="Times New Roman"/>
                <w:szCs w:val="24"/>
              </w:rPr>
              <w:t>Ensure that all construction machines and equipment are in good working conditions and to manufacturer’s specifications to prevent occupational hazards.</w:t>
            </w:r>
          </w:p>
          <w:p w14:paraId="0FACA3BE">
            <w:pPr>
              <w:pStyle w:val="32"/>
              <w:numPr>
                <w:ilvl w:val="0"/>
                <w:numId w:val="54"/>
              </w:numPr>
              <w:spacing w:after="0" w:line="240" w:lineRule="auto"/>
              <w:jc w:val="both"/>
              <w:rPr>
                <w:rFonts w:ascii="Times New Roman" w:hAnsi="Times New Roman"/>
                <w:szCs w:val="24"/>
              </w:rPr>
            </w:pPr>
            <w:r>
              <w:rPr>
                <w:rFonts w:ascii="Times New Roman" w:hAnsi="Times New Roman"/>
                <w:szCs w:val="24"/>
              </w:rPr>
              <w:t>Appoint a trained health and safety team for the duration of the construction work.</w:t>
            </w:r>
          </w:p>
          <w:p w14:paraId="6D125ACE">
            <w:pPr>
              <w:pStyle w:val="32"/>
              <w:numPr>
                <w:ilvl w:val="0"/>
                <w:numId w:val="54"/>
              </w:numPr>
              <w:spacing w:after="0" w:line="240" w:lineRule="auto"/>
              <w:jc w:val="both"/>
              <w:rPr>
                <w:rFonts w:ascii="Times New Roman" w:hAnsi="Times New Roman"/>
                <w:szCs w:val="24"/>
              </w:rPr>
            </w:pPr>
            <w:r>
              <w:rPr>
                <w:rFonts w:ascii="Times New Roman" w:hAnsi="Times New Roman"/>
                <w:szCs w:val="24"/>
              </w:rPr>
              <w:t>Provide workers with appropriate personal protective equipment (PPE)e.g helmets, reflector jackets, gumboots, gloves, masks</w:t>
            </w:r>
          </w:p>
          <w:p w14:paraId="7432862C">
            <w:pPr>
              <w:pStyle w:val="32"/>
              <w:numPr>
                <w:ilvl w:val="0"/>
                <w:numId w:val="54"/>
              </w:numPr>
              <w:spacing w:after="0" w:line="240" w:lineRule="auto"/>
              <w:jc w:val="both"/>
              <w:rPr>
                <w:rFonts w:ascii="Times New Roman" w:hAnsi="Times New Roman"/>
                <w:szCs w:val="24"/>
              </w:rPr>
            </w:pPr>
            <w:r>
              <w:rPr>
                <w:rFonts w:ascii="Times New Roman" w:hAnsi="Times New Roman"/>
                <w:szCs w:val="24"/>
              </w:rPr>
              <w:t>Work to minimize or altogether eliminate mosquito breeding sites.</w:t>
            </w:r>
          </w:p>
          <w:p w14:paraId="51523135">
            <w:pPr>
              <w:pStyle w:val="32"/>
              <w:numPr>
                <w:ilvl w:val="0"/>
                <w:numId w:val="54"/>
              </w:numPr>
              <w:spacing w:after="0" w:line="240" w:lineRule="auto"/>
              <w:jc w:val="both"/>
              <w:rPr>
                <w:rFonts w:ascii="Times New Roman" w:hAnsi="Times New Roman"/>
                <w:szCs w:val="24"/>
              </w:rPr>
            </w:pPr>
            <w:r>
              <w:rPr>
                <w:rFonts w:ascii="Times New Roman" w:hAnsi="Times New Roman"/>
                <w:szCs w:val="24"/>
              </w:rPr>
              <w:t>Provide adequate and appropriate human and solid waste disposal facilities e.g. Toilets and dustbins.</w:t>
            </w:r>
          </w:p>
          <w:p w14:paraId="59369565">
            <w:pPr>
              <w:pStyle w:val="32"/>
              <w:numPr>
                <w:ilvl w:val="0"/>
                <w:numId w:val="54"/>
              </w:numPr>
              <w:spacing w:line="240" w:lineRule="auto"/>
              <w:jc w:val="both"/>
              <w:rPr>
                <w:rFonts w:ascii="Times New Roman" w:hAnsi="Times New Roman"/>
                <w:szCs w:val="24"/>
              </w:rPr>
            </w:pPr>
            <w:r>
              <w:rPr>
                <w:rFonts w:ascii="Times New Roman" w:hAnsi="Times New Roman"/>
                <w:szCs w:val="24"/>
              </w:rPr>
              <w:t>Creation of awareness of the Grievance Redress Mechanism (GRM) amongst all the stakeholders through public awareness campaigns</w:t>
            </w:r>
          </w:p>
        </w:tc>
      </w:tr>
    </w:tbl>
    <w:p w14:paraId="1FFCCBA8">
      <w:pPr>
        <w:spacing w:after="0" w:line="240" w:lineRule="auto"/>
        <w:rPr>
          <w:rFonts w:ascii="Times New Roman" w:hAnsi="Times New Roman"/>
          <w:b/>
          <w:bCs/>
          <w:szCs w:val="24"/>
        </w:rPr>
      </w:pPr>
    </w:p>
    <w:p w14:paraId="401DACC5">
      <w:pPr>
        <w:spacing w:after="0" w:line="240" w:lineRule="auto"/>
        <w:rPr>
          <w:rFonts w:ascii="Times New Roman" w:hAnsi="Times New Roman"/>
          <w:b/>
          <w:bCs/>
          <w:szCs w:val="24"/>
        </w:rPr>
      </w:pPr>
    </w:p>
    <w:p w14:paraId="4DA74087">
      <w:pPr>
        <w:spacing w:after="0" w:line="240" w:lineRule="auto"/>
        <w:rPr>
          <w:rFonts w:ascii="Times New Roman" w:hAnsi="Times New Roman"/>
          <w:b/>
          <w:bCs/>
          <w:szCs w:val="24"/>
        </w:rPr>
      </w:pPr>
      <w:r>
        <w:rPr>
          <w:rFonts w:ascii="Times New Roman" w:hAnsi="Times New Roman"/>
          <w:b/>
          <w:bCs/>
          <w:szCs w:val="24"/>
        </w:rPr>
        <w:t>Public health and safety</w:t>
      </w:r>
    </w:p>
    <w:p w14:paraId="1AD7B396">
      <w:pPr>
        <w:spacing w:after="0" w:line="240" w:lineRule="auto"/>
        <w:jc w:val="both"/>
        <w:rPr>
          <w:rFonts w:ascii="Times New Roman" w:hAnsi="Times New Roman"/>
          <w:szCs w:val="24"/>
        </w:rPr>
      </w:pPr>
      <w:r>
        <w:rPr>
          <w:rFonts w:ascii="Times New Roman" w:hAnsi="Times New Roman"/>
          <w:szCs w:val="24"/>
        </w:rPr>
        <w:t>Dust and air pollution from Construction activities produce dust that can cause respiratory problems. Machinery and construction activities may cause excessive noise, disturbing the community especially those coming to KIMWASCO to seek services. Community members, especially children, may enter the site and get injured. Movement of construction vehicles may endanger pedestrians and nearby residents</w:t>
      </w:r>
      <w:r>
        <w:rPr>
          <w:rFonts w:ascii="Times New Roman" w:hAnsi="Times New Roman"/>
          <w:b/>
          <w:bCs/>
          <w:szCs w:val="24"/>
        </w:rPr>
        <w:t>.</w:t>
      </w:r>
    </w:p>
    <w:p w14:paraId="33D3B115">
      <w:pPr>
        <w:spacing w:after="0" w:line="240" w:lineRule="auto"/>
        <w:rPr>
          <w:rFonts w:ascii="Times New Roman" w:hAnsi="Times New Roman"/>
          <w:b/>
          <w:bCs/>
          <w:szCs w:val="24"/>
        </w:rPr>
      </w:pP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296"/>
      </w:tblGrid>
      <w:tr w14:paraId="10A8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5ECA443E">
            <w:pPr>
              <w:spacing w:line="240" w:lineRule="auto"/>
              <w:jc w:val="both"/>
              <w:rPr>
                <w:rFonts w:ascii="Times New Roman" w:hAnsi="Times New Roman"/>
                <w:szCs w:val="24"/>
              </w:rPr>
            </w:pPr>
            <w:r>
              <w:rPr>
                <w:rFonts w:ascii="Times New Roman" w:hAnsi="Times New Roman"/>
                <w:szCs w:val="24"/>
              </w:rPr>
              <w:t>Mitigation:</w:t>
            </w:r>
          </w:p>
        </w:tc>
      </w:tr>
      <w:tr w14:paraId="5BC5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3CBFC893">
            <w:pPr>
              <w:pStyle w:val="32"/>
              <w:numPr>
                <w:ilvl w:val="0"/>
                <w:numId w:val="54"/>
              </w:numPr>
              <w:spacing w:line="240" w:lineRule="auto"/>
              <w:jc w:val="both"/>
              <w:rPr>
                <w:rFonts w:ascii="Times New Roman" w:hAnsi="Times New Roman"/>
                <w:szCs w:val="24"/>
              </w:rPr>
            </w:pPr>
            <w:r>
              <w:rPr>
                <w:rFonts w:ascii="Times New Roman" w:hAnsi="Times New Roman"/>
                <w:szCs w:val="24"/>
              </w:rPr>
              <w:t>Sprinkle water on dusty areas and cover construction materials.</w:t>
            </w:r>
          </w:p>
          <w:p w14:paraId="50CCE758">
            <w:pPr>
              <w:pStyle w:val="32"/>
              <w:numPr>
                <w:ilvl w:val="0"/>
                <w:numId w:val="54"/>
              </w:numPr>
              <w:spacing w:line="240" w:lineRule="auto"/>
              <w:jc w:val="both"/>
              <w:rPr>
                <w:rFonts w:ascii="Times New Roman" w:hAnsi="Times New Roman"/>
                <w:szCs w:val="24"/>
              </w:rPr>
            </w:pPr>
            <w:r>
              <w:rPr>
                <w:rFonts w:ascii="Times New Roman" w:hAnsi="Times New Roman"/>
                <w:szCs w:val="24"/>
              </w:rPr>
              <w:t>Limit construction to daytime hours and use well-maintained equipment</w:t>
            </w:r>
          </w:p>
          <w:p w14:paraId="0DD9A153">
            <w:pPr>
              <w:pStyle w:val="32"/>
              <w:numPr>
                <w:ilvl w:val="0"/>
                <w:numId w:val="54"/>
              </w:numPr>
              <w:spacing w:line="240" w:lineRule="auto"/>
              <w:jc w:val="both"/>
              <w:rPr>
                <w:rFonts w:ascii="Times New Roman" w:hAnsi="Times New Roman"/>
                <w:szCs w:val="24"/>
              </w:rPr>
            </w:pPr>
            <w:r>
              <w:rPr>
                <w:rFonts w:ascii="Times New Roman" w:hAnsi="Times New Roman"/>
                <w:szCs w:val="24"/>
              </w:rPr>
              <w:t>Control vehicle movement, use signs, and assign traffic marshals</w:t>
            </w:r>
          </w:p>
          <w:p w14:paraId="64D85F1A">
            <w:pPr>
              <w:pStyle w:val="32"/>
              <w:numPr>
                <w:ilvl w:val="0"/>
                <w:numId w:val="54"/>
              </w:numPr>
              <w:spacing w:line="240" w:lineRule="auto"/>
              <w:jc w:val="both"/>
              <w:rPr>
                <w:rFonts w:ascii="Times New Roman" w:hAnsi="Times New Roman"/>
                <w:szCs w:val="24"/>
              </w:rPr>
            </w:pPr>
            <w:r>
              <w:rPr>
                <w:rFonts w:ascii="Times New Roman" w:hAnsi="Times New Roman"/>
                <w:szCs w:val="24"/>
              </w:rPr>
              <w:t>Restrict access using fencing and security personnel.</w:t>
            </w:r>
          </w:p>
        </w:tc>
      </w:tr>
    </w:tbl>
    <w:p w14:paraId="56475052">
      <w:pPr>
        <w:spacing w:after="0" w:line="240" w:lineRule="auto"/>
        <w:rPr>
          <w:rFonts w:ascii="Times New Roman" w:hAnsi="Times New Roman"/>
          <w:b/>
          <w:bCs/>
          <w:szCs w:val="24"/>
        </w:rPr>
      </w:pPr>
    </w:p>
    <w:p w14:paraId="4D79D902">
      <w:pPr>
        <w:spacing w:after="0" w:line="240" w:lineRule="auto"/>
        <w:rPr>
          <w:rFonts w:ascii="Times New Roman" w:hAnsi="Times New Roman"/>
          <w:b/>
          <w:bCs/>
          <w:szCs w:val="24"/>
        </w:rPr>
      </w:pPr>
      <w:r>
        <w:rPr>
          <w:rFonts w:ascii="Times New Roman" w:hAnsi="Times New Roman"/>
          <w:b/>
          <w:bCs/>
          <w:szCs w:val="24"/>
        </w:rPr>
        <w:t>HIV &amp; AIDS Impacts</w:t>
      </w:r>
    </w:p>
    <w:p w14:paraId="5686FA97">
      <w:pPr>
        <w:spacing w:after="0" w:line="240" w:lineRule="auto"/>
        <w:jc w:val="both"/>
        <w:rPr>
          <w:rFonts w:ascii="Times New Roman" w:hAnsi="Times New Roman"/>
          <w:szCs w:val="24"/>
        </w:rPr>
      </w:pPr>
      <w:r>
        <w:rPr>
          <w:rFonts w:ascii="Times New Roman" w:hAnsi="Times New Roman"/>
          <w:szCs w:val="24"/>
        </w:rPr>
        <w:t xml:space="preserve">It is the youth that are at greater risk of contracting HIV. They account for most new cases and since the construction industry is more likely to employ people in this age group, steps must be taken to minimize the chances of contracting HIV amongst the contractor’s personnel and the locals. </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296"/>
      </w:tblGrid>
      <w:tr w14:paraId="5A25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13485D08">
            <w:pPr>
              <w:spacing w:line="240" w:lineRule="auto"/>
              <w:jc w:val="both"/>
              <w:rPr>
                <w:rFonts w:ascii="Times New Roman" w:hAnsi="Times New Roman"/>
                <w:szCs w:val="24"/>
              </w:rPr>
            </w:pPr>
            <w:r>
              <w:rPr>
                <w:rFonts w:ascii="Times New Roman" w:hAnsi="Times New Roman"/>
                <w:szCs w:val="24"/>
              </w:rPr>
              <w:t>Mitigation:</w:t>
            </w:r>
          </w:p>
        </w:tc>
      </w:tr>
      <w:tr w14:paraId="28E5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E5B8B7"/>
          </w:tcPr>
          <w:p w14:paraId="74FC5ACB">
            <w:pPr>
              <w:pStyle w:val="32"/>
              <w:numPr>
                <w:ilvl w:val="0"/>
                <w:numId w:val="54"/>
              </w:numPr>
              <w:spacing w:line="240" w:lineRule="auto"/>
              <w:jc w:val="both"/>
              <w:rPr>
                <w:rFonts w:ascii="Times New Roman" w:hAnsi="Times New Roman"/>
                <w:szCs w:val="24"/>
              </w:rPr>
            </w:pPr>
            <w:r>
              <w:rPr>
                <w:rFonts w:ascii="Times New Roman" w:hAnsi="Times New Roman"/>
                <w:szCs w:val="24"/>
              </w:rPr>
              <w:t xml:space="preserve">Sensitize workers and the surrounding communities on awareness, prevention and management of HIV/AIDS through staff training, awareness campaigns, multimedia and workshops or during community Barazas. </w:t>
            </w:r>
          </w:p>
          <w:p w14:paraId="10341748">
            <w:pPr>
              <w:pStyle w:val="32"/>
              <w:numPr>
                <w:ilvl w:val="0"/>
                <w:numId w:val="54"/>
              </w:numPr>
              <w:spacing w:line="240" w:lineRule="auto"/>
              <w:jc w:val="both"/>
              <w:rPr>
                <w:rFonts w:ascii="Times New Roman" w:hAnsi="Times New Roman"/>
                <w:szCs w:val="24"/>
              </w:rPr>
            </w:pPr>
            <w:r>
              <w:rPr>
                <w:rFonts w:ascii="Times New Roman" w:hAnsi="Times New Roman"/>
                <w:szCs w:val="24"/>
              </w:rPr>
              <w:t>Use of existing clinics to provide VCT services to construction crew and provision of ARVs for vulnerable community members</w:t>
            </w:r>
          </w:p>
          <w:p w14:paraId="396DF09C">
            <w:pPr>
              <w:numPr>
                <w:ilvl w:val="0"/>
                <w:numId w:val="54"/>
              </w:numPr>
              <w:spacing w:after="120" w:line="240" w:lineRule="auto"/>
              <w:jc w:val="both"/>
              <w:rPr>
                <w:rFonts w:ascii="Times New Roman" w:hAnsi="Times New Roman"/>
                <w:szCs w:val="24"/>
              </w:rPr>
            </w:pPr>
            <w:r>
              <w:rPr>
                <w:rFonts w:ascii="Times New Roman" w:hAnsi="Times New Roman"/>
                <w:szCs w:val="24"/>
              </w:rPr>
              <w:t>The contractor should provide quality condoms to personnel on site.</w:t>
            </w:r>
          </w:p>
          <w:p w14:paraId="49B46724">
            <w:pPr>
              <w:pStyle w:val="32"/>
              <w:numPr>
                <w:ilvl w:val="0"/>
                <w:numId w:val="54"/>
              </w:numPr>
              <w:spacing w:line="240" w:lineRule="auto"/>
              <w:jc w:val="both"/>
              <w:rPr>
                <w:rFonts w:ascii="Times New Roman" w:hAnsi="Times New Roman"/>
                <w:szCs w:val="24"/>
              </w:rPr>
            </w:pPr>
            <w:r>
              <w:rPr>
                <w:rFonts w:ascii="Times New Roman" w:hAnsi="Times New Roman"/>
                <w:szCs w:val="24"/>
              </w:rPr>
              <w:t>Access to the contractor’s camps by outsiders should be strictly controlled.</w:t>
            </w:r>
          </w:p>
        </w:tc>
      </w:tr>
    </w:tbl>
    <w:p w14:paraId="0B7B47A7">
      <w:pPr>
        <w:spacing w:line="240" w:lineRule="auto"/>
        <w:rPr>
          <w:rFonts w:ascii="Times New Roman" w:hAnsi="Times New Roman"/>
          <w:szCs w:val="24"/>
        </w:rPr>
      </w:pPr>
    </w:p>
    <w:p w14:paraId="13788F0A">
      <w:pPr>
        <w:spacing w:after="0" w:line="240" w:lineRule="auto"/>
        <w:rPr>
          <w:rFonts w:ascii="Times New Roman" w:hAnsi="Times New Roman"/>
          <w:b/>
          <w:bCs/>
          <w:szCs w:val="24"/>
        </w:rPr>
      </w:pPr>
      <w:r>
        <w:rPr>
          <w:rFonts w:ascii="Times New Roman" w:hAnsi="Times New Roman"/>
          <w:b/>
          <w:bCs/>
          <w:szCs w:val="24"/>
        </w:rPr>
        <w:t>Liability risk (Loss of life, injury or damage to private property)</w:t>
      </w:r>
    </w:p>
    <w:p w14:paraId="13141D0C">
      <w:pPr>
        <w:spacing w:after="0" w:line="240" w:lineRule="auto"/>
        <w:jc w:val="both"/>
        <w:rPr>
          <w:rFonts w:ascii="Times New Roman" w:hAnsi="Times New Roman"/>
          <w:szCs w:val="24"/>
        </w:rPr>
      </w:pPr>
      <w:r>
        <w:rPr>
          <w:rFonts w:ascii="Times New Roman" w:hAnsi="Times New Roman"/>
          <w:szCs w:val="24"/>
        </w:rPr>
        <w:t>Some of the Construction activities e.g excavations, work at heights, concrete works may lead to accidents that may be mild or fatal depending on various factors. During the implementation of the proposed project, accidents could be due to negligence on part of the workers, machine failure or breakdown or accidental falls from elevated points of the structure. These incidents can be reduced through proper work safety procedures.</w:t>
      </w:r>
    </w:p>
    <w:p w14:paraId="05AB017F">
      <w:pPr>
        <w:spacing w:line="240" w:lineRule="auto"/>
        <w:rPr>
          <w:rFonts w:ascii="Times New Roman" w:hAnsi="Times New Roman"/>
          <w:szCs w:val="24"/>
        </w:rPr>
      </w:pPr>
      <w:r>
        <w:rPr>
          <w:rFonts w:ascii="Times New Roman" w:hAnsi="Times New Roman"/>
          <w:szCs w:val="24"/>
        </w:rPr>
        <w:t xml:space="preserve">In addition, during Construction, there may be damage to private property that may not be foreseen. </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296"/>
      </w:tblGrid>
      <w:tr w14:paraId="1D59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0C651817">
            <w:pPr>
              <w:spacing w:line="240" w:lineRule="auto"/>
              <w:rPr>
                <w:rFonts w:ascii="Times New Roman" w:hAnsi="Times New Roman"/>
                <w:szCs w:val="24"/>
              </w:rPr>
            </w:pPr>
            <w:r>
              <w:rPr>
                <w:rFonts w:ascii="Times New Roman" w:hAnsi="Times New Roman"/>
                <w:szCs w:val="24"/>
              </w:rPr>
              <w:t>Mitigation:</w:t>
            </w:r>
          </w:p>
        </w:tc>
      </w:tr>
      <w:tr w14:paraId="19EF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1E96E3E9">
            <w:pPr>
              <w:pStyle w:val="32"/>
              <w:numPr>
                <w:ilvl w:val="0"/>
                <w:numId w:val="52"/>
              </w:numPr>
              <w:spacing w:line="240" w:lineRule="auto"/>
              <w:rPr>
                <w:rFonts w:ascii="Times New Roman" w:hAnsi="Times New Roman"/>
                <w:szCs w:val="24"/>
              </w:rPr>
            </w:pPr>
            <w:r>
              <w:rPr>
                <w:rFonts w:ascii="Times New Roman" w:hAnsi="Times New Roman"/>
                <w:szCs w:val="24"/>
              </w:rPr>
              <w:t>Develop a site safety action plan detailing safety equipment to be used, emergency procedures, restriction on site, frequency and personnel responsible for safety inspections and controls.</w:t>
            </w:r>
          </w:p>
          <w:p w14:paraId="1DB22D40">
            <w:pPr>
              <w:pStyle w:val="32"/>
              <w:numPr>
                <w:ilvl w:val="0"/>
                <w:numId w:val="52"/>
              </w:numPr>
              <w:spacing w:line="240" w:lineRule="auto"/>
              <w:rPr>
                <w:rFonts w:ascii="Times New Roman" w:hAnsi="Times New Roman"/>
                <w:szCs w:val="24"/>
              </w:rPr>
            </w:pPr>
            <w:r>
              <w:rPr>
                <w:rFonts w:ascii="Times New Roman" w:hAnsi="Times New Roman"/>
                <w:szCs w:val="24"/>
              </w:rPr>
              <w:t>Provision of requisite PPE as established from risk assessment in the safety action plan and enforcing their usage.</w:t>
            </w:r>
          </w:p>
          <w:p w14:paraId="577EAE4A">
            <w:pPr>
              <w:pStyle w:val="32"/>
              <w:numPr>
                <w:ilvl w:val="0"/>
                <w:numId w:val="52"/>
              </w:numPr>
              <w:spacing w:line="240" w:lineRule="auto"/>
              <w:rPr>
                <w:rFonts w:ascii="Times New Roman" w:hAnsi="Times New Roman"/>
                <w:szCs w:val="24"/>
              </w:rPr>
            </w:pPr>
            <w:r>
              <w:rPr>
                <w:rFonts w:ascii="Times New Roman" w:hAnsi="Times New Roman"/>
                <w:szCs w:val="24"/>
              </w:rPr>
              <w:t>The workers should receive requisite training especially on the operation of the machinery and equipment.</w:t>
            </w:r>
          </w:p>
          <w:p w14:paraId="31F13602">
            <w:pPr>
              <w:pStyle w:val="32"/>
              <w:numPr>
                <w:ilvl w:val="0"/>
                <w:numId w:val="52"/>
              </w:numPr>
              <w:spacing w:line="240" w:lineRule="auto"/>
              <w:rPr>
                <w:rFonts w:ascii="Times New Roman" w:hAnsi="Times New Roman"/>
                <w:szCs w:val="24"/>
              </w:rPr>
            </w:pPr>
            <w:r>
              <w:rPr>
                <w:rFonts w:ascii="Times New Roman" w:hAnsi="Times New Roman"/>
                <w:szCs w:val="24"/>
              </w:rPr>
              <w:t>There should be adequate warning and directional signs.</w:t>
            </w:r>
          </w:p>
          <w:p w14:paraId="0DB1BE80">
            <w:pPr>
              <w:pStyle w:val="32"/>
              <w:numPr>
                <w:ilvl w:val="0"/>
                <w:numId w:val="52"/>
              </w:numPr>
              <w:spacing w:line="240" w:lineRule="auto"/>
              <w:rPr>
                <w:rFonts w:ascii="Times New Roman" w:hAnsi="Times New Roman"/>
                <w:szCs w:val="24"/>
              </w:rPr>
            </w:pPr>
            <w:r>
              <w:rPr>
                <w:rFonts w:ascii="Times New Roman" w:hAnsi="Times New Roman"/>
                <w:szCs w:val="24"/>
              </w:rPr>
              <w:t>Ensuring that the prepared code of conduct for staff is followed to prevent accidents.</w:t>
            </w:r>
          </w:p>
          <w:p w14:paraId="76E5EAD2">
            <w:pPr>
              <w:pStyle w:val="32"/>
              <w:numPr>
                <w:ilvl w:val="0"/>
                <w:numId w:val="52"/>
              </w:numPr>
              <w:spacing w:line="240" w:lineRule="auto"/>
              <w:rPr>
                <w:rFonts w:ascii="Times New Roman" w:hAnsi="Times New Roman"/>
                <w:szCs w:val="24"/>
              </w:rPr>
            </w:pPr>
            <w:r>
              <w:rPr>
                <w:rFonts w:ascii="Times New Roman" w:hAnsi="Times New Roman"/>
                <w:szCs w:val="24"/>
              </w:rPr>
              <w:t>Provide First Aid Kit within the construction sites and ensure that at any moment during the works, there is a trained first aider on site. The ration of trained first aiders to worker will be as per defined by the OSHA First Aid Rules.</w:t>
            </w:r>
          </w:p>
          <w:p w14:paraId="6D6E6E93">
            <w:pPr>
              <w:pStyle w:val="32"/>
              <w:numPr>
                <w:ilvl w:val="0"/>
                <w:numId w:val="52"/>
              </w:numPr>
              <w:spacing w:line="240" w:lineRule="auto"/>
              <w:rPr>
                <w:rFonts w:ascii="Times New Roman" w:hAnsi="Times New Roman"/>
                <w:szCs w:val="24"/>
              </w:rPr>
            </w:pPr>
            <w:r>
              <w:rPr>
                <w:rFonts w:ascii="Times New Roman" w:hAnsi="Times New Roman"/>
                <w:szCs w:val="24"/>
              </w:rPr>
              <w:t>Recording of all injuries that occur on site in the incident register, corrective actions for their prevention are instigated as appropriate.</w:t>
            </w:r>
          </w:p>
          <w:p w14:paraId="4094FA02">
            <w:pPr>
              <w:pStyle w:val="32"/>
              <w:numPr>
                <w:ilvl w:val="0"/>
                <w:numId w:val="52"/>
              </w:numPr>
              <w:spacing w:line="240" w:lineRule="auto"/>
              <w:rPr>
                <w:rFonts w:ascii="Times New Roman" w:hAnsi="Times New Roman"/>
                <w:szCs w:val="24"/>
              </w:rPr>
            </w:pPr>
            <w:r>
              <w:rPr>
                <w:rFonts w:ascii="Times New Roman" w:hAnsi="Times New Roman"/>
                <w:szCs w:val="24"/>
              </w:rPr>
              <w:t>Contractor to ensure compliance with the Work Injury Benefits Act WIBA, and OSHA,  and maintain insurance cover throughout the construction period.</w:t>
            </w:r>
          </w:p>
          <w:p w14:paraId="2E47FB44">
            <w:pPr>
              <w:pStyle w:val="32"/>
              <w:numPr>
                <w:ilvl w:val="0"/>
                <w:numId w:val="52"/>
              </w:numPr>
              <w:spacing w:line="240" w:lineRule="auto"/>
              <w:rPr>
                <w:rFonts w:ascii="Times New Roman" w:hAnsi="Times New Roman"/>
                <w:szCs w:val="24"/>
              </w:rPr>
            </w:pPr>
            <w:r>
              <w:rPr>
                <w:rFonts w:ascii="Times New Roman" w:hAnsi="Times New Roman"/>
                <w:szCs w:val="24"/>
              </w:rPr>
              <w:t>The Contractor to promptly repair any damage done to private property.</w:t>
            </w:r>
          </w:p>
          <w:p w14:paraId="1A7F1FB2">
            <w:pPr>
              <w:pStyle w:val="32"/>
              <w:numPr>
                <w:ilvl w:val="0"/>
                <w:numId w:val="52"/>
              </w:numPr>
              <w:spacing w:line="240" w:lineRule="auto"/>
              <w:rPr>
                <w:rFonts w:ascii="Times New Roman" w:hAnsi="Times New Roman"/>
                <w:szCs w:val="24"/>
              </w:rPr>
            </w:pPr>
            <w:r>
              <w:rPr>
                <w:rFonts w:ascii="Times New Roman" w:hAnsi="Times New Roman"/>
                <w:szCs w:val="24"/>
              </w:rPr>
              <w:t>Limit damage to property by observing construction area limits by clear demarcation</w:t>
            </w:r>
          </w:p>
        </w:tc>
      </w:tr>
    </w:tbl>
    <w:p w14:paraId="1A04A5BC">
      <w:pPr>
        <w:spacing w:line="240" w:lineRule="auto"/>
        <w:rPr>
          <w:rFonts w:ascii="Times New Roman" w:hAnsi="Times New Roman"/>
          <w:b/>
          <w:bCs/>
          <w:szCs w:val="24"/>
        </w:rPr>
      </w:pPr>
    </w:p>
    <w:p w14:paraId="3F56DD5C">
      <w:pPr>
        <w:spacing w:after="0" w:line="240" w:lineRule="auto"/>
        <w:rPr>
          <w:rFonts w:ascii="Times New Roman" w:hAnsi="Times New Roman"/>
          <w:b/>
          <w:bCs/>
          <w:szCs w:val="24"/>
        </w:rPr>
      </w:pPr>
      <w:r>
        <w:rPr>
          <w:rFonts w:ascii="Times New Roman" w:hAnsi="Times New Roman"/>
          <w:b/>
          <w:bCs/>
          <w:szCs w:val="24"/>
        </w:rPr>
        <w:t>Crime Incidences</w:t>
      </w:r>
    </w:p>
    <w:p w14:paraId="0276F7E1">
      <w:pPr>
        <w:spacing w:after="0" w:line="240" w:lineRule="auto"/>
        <w:jc w:val="both"/>
        <w:rPr>
          <w:rFonts w:ascii="Times New Roman" w:hAnsi="Times New Roman"/>
          <w:szCs w:val="24"/>
        </w:rPr>
      </w:pPr>
      <w:r>
        <w:rPr>
          <w:rFonts w:ascii="Times New Roman" w:hAnsi="Times New Roman"/>
          <w:szCs w:val="24"/>
        </w:rPr>
        <w:t>The facilities will be in high traffic areas with idlers hence the construction sites are prone to have a few incidences of crime including, stealing of construction materials or individual property, drug abuse and alcoholism among others, within and without the construction site.</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296"/>
      </w:tblGrid>
      <w:tr w14:paraId="6B40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E5B8B7"/>
          </w:tcPr>
          <w:p w14:paraId="291023F8">
            <w:pPr>
              <w:spacing w:line="240" w:lineRule="auto"/>
              <w:jc w:val="both"/>
              <w:rPr>
                <w:rFonts w:ascii="Times New Roman" w:hAnsi="Times New Roman"/>
                <w:szCs w:val="24"/>
              </w:rPr>
            </w:pPr>
            <w:r>
              <w:rPr>
                <w:rFonts w:ascii="Times New Roman" w:hAnsi="Times New Roman"/>
                <w:szCs w:val="24"/>
              </w:rPr>
              <w:t>Mitigation:</w:t>
            </w:r>
          </w:p>
        </w:tc>
      </w:tr>
      <w:tr w14:paraId="29F4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2981D758">
            <w:pPr>
              <w:pStyle w:val="32"/>
              <w:numPr>
                <w:ilvl w:val="0"/>
                <w:numId w:val="52"/>
              </w:numPr>
              <w:spacing w:line="240" w:lineRule="auto"/>
              <w:jc w:val="both"/>
              <w:rPr>
                <w:rFonts w:ascii="Times New Roman" w:hAnsi="Times New Roman"/>
                <w:szCs w:val="24"/>
              </w:rPr>
            </w:pPr>
            <w:r>
              <w:rPr>
                <w:rFonts w:ascii="Times New Roman" w:hAnsi="Times New Roman"/>
                <w:szCs w:val="24"/>
              </w:rPr>
              <w:t xml:space="preserve">Fencing off the Contractor’s camp </w:t>
            </w:r>
          </w:p>
          <w:p w14:paraId="752F0509">
            <w:pPr>
              <w:pStyle w:val="32"/>
              <w:numPr>
                <w:ilvl w:val="0"/>
                <w:numId w:val="52"/>
              </w:numPr>
              <w:spacing w:line="240" w:lineRule="auto"/>
              <w:jc w:val="both"/>
              <w:rPr>
                <w:rFonts w:ascii="Times New Roman" w:hAnsi="Times New Roman"/>
                <w:szCs w:val="24"/>
              </w:rPr>
            </w:pPr>
            <w:r>
              <w:rPr>
                <w:rFonts w:ascii="Times New Roman" w:hAnsi="Times New Roman"/>
                <w:szCs w:val="24"/>
              </w:rPr>
              <w:t>Working with local committees (e.g. “Nyumba Kumi”) to provide security within the site in addition to the Contractor’s own security.</w:t>
            </w:r>
          </w:p>
          <w:p w14:paraId="27E121B5">
            <w:pPr>
              <w:pStyle w:val="32"/>
              <w:numPr>
                <w:ilvl w:val="0"/>
                <w:numId w:val="52"/>
              </w:numPr>
              <w:spacing w:line="240" w:lineRule="auto"/>
              <w:jc w:val="both"/>
              <w:rPr>
                <w:rFonts w:ascii="Times New Roman" w:hAnsi="Times New Roman"/>
                <w:szCs w:val="24"/>
              </w:rPr>
            </w:pPr>
            <w:r>
              <w:rPr>
                <w:rFonts w:ascii="Times New Roman" w:hAnsi="Times New Roman"/>
                <w:szCs w:val="24"/>
              </w:rPr>
              <w:t>Removing any employee who persists in any misconduct or lack of care, carries out duties incompetently or negligently, fails to conform to any provisions of the contract, or persists in any conduct which is prejudicial to safety, health, or the protection of the environment.</w:t>
            </w:r>
          </w:p>
          <w:p w14:paraId="02D6E4EA">
            <w:pPr>
              <w:pStyle w:val="32"/>
              <w:numPr>
                <w:ilvl w:val="0"/>
                <w:numId w:val="52"/>
              </w:numPr>
              <w:spacing w:line="240" w:lineRule="auto"/>
              <w:jc w:val="both"/>
              <w:rPr>
                <w:rFonts w:ascii="Times New Roman" w:hAnsi="Times New Roman"/>
                <w:szCs w:val="24"/>
              </w:rPr>
            </w:pPr>
            <w:r>
              <w:rPr>
                <w:rFonts w:ascii="Times New Roman" w:hAnsi="Times New Roman"/>
                <w:szCs w:val="24"/>
              </w:rPr>
              <w:t>Taking all reasonable precautions to prevent unlawful, riotous or disorderly conduct by or amongst the contractor's personnel, and to preserve peace and protection of persons and property on and near the site.</w:t>
            </w:r>
          </w:p>
          <w:p w14:paraId="0918956A">
            <w:pPr>
              <w:pStyle w:val="32"/>
              <w:numPr>
                <w:ilvl w:val="0"/>
                <w:numId w:val="52"/>
              </w:numPr>
              <w:spacing w:line="240" w:lineRule="auto"/>
              <w:jc w:val="both"/>
              <w:rPr>
                <w:rFonts w:ascii="Times New Roman" w:hAnsi="Times New Roman"/>
                <w:szCs w:val="24"/>
              </w:rPr>
            </w:pPr>
            <w:r>
              <w:rPr>
                <w:rFonts w:ascii="Times New Roman" w:hAnsi="Times New Roman"/>
                <w:szCs w:val="24"/>
              </w:rPr>
              <w:t>Prohibiting alcohol, drugs, arms, and ammunition on the worksite among personnel.</w:t>
            </w:r>
          </w:p>
          <w:p w14:paraId="0F28C407">
            <w:pPr>
              <w:pStyle w:val="32"/>
              <w:numPr>
                <w:ilvl w:val="0"/>
                <w:numId w:val="52"/>
              </w:numPr>
              <w:spacing w:line="240" w:lineRule="auto"/>
              <w:jc w:val="both"/>
              <w:rPr>
                <w:rFonts w:ascii="Times New Roman" w:hAnsi="Times New Roman"/>
                <w:szCs w:val="24"/>
              </w:rPr>
            </w:pPr>
            <w:r>
              <w:rPr>
                <w:rFonts w:ascii="Times New Roman" w:hAnsi="Times New Roman"/>
                <w:szCs w:val="24"/>
              </w:rPr>
              <w:t>The contractor and Supervision Expert should report all activities of a criminal nature on the worksite or by the contractor's employees (whether on or off the worksite) to the police and undertake the necessary follow-up.  Crime reports should include nature of the offense, location, date, time, and all other pertinent details.</w:t>
            </w:r>
          </w:p>
        </w:tc>
      </w:tr>
    </w:tbl>
    <w:p w14:paraId="35365A08">
      <w:pPr>
        <w:spacing w:line="240" w:lineRule="auto"/>
        <w:rPr>
          <w:rFonts w:ascii="Times New Roman" w:hAnsi="Times New Roman"/>
          <w:szCs w:val="24"/>
        </w:rPr>
      </w:pPr>
    </w:p>
    <w:p w14:paraId="0128BCFD">
      <w:pPr>
        <w:spacing w:after="0" w:line="240" w:lineRule="auto"/>
        <w:rPr>
          <w:rFonts w:ascii="Times New Roman" w:hAnsi="Times New Roman"/>
          <w:b/>
          <w:bCs/>
          <w:szCs w:val="24"/>
        </w:rPr>
      </w:pPr>
      <w:r>
        <w:rPr>
          <w:rFonts w:ascii="Times New Roman" w:hAnsi="Times New Roman"/>
          <w:b/>
          <w:bCs/>
          <w:szCs w:val="24"/>
        </w:rPr>
        <w:t>Child Labour and Protection</w:t>
      </w:r>
    </w:p>
    <w:p w14:paraId="12E6EA1A">
      <w:pPr>
        <w:spacing w:after="0" w:line="240" w:lineRule="auto"/>
        <w:jc w:val="both"/>
        <w:rPr>
          <w:rFonts w:ascii="Times New Roman" w:hAnsi="Times New Roman"/>
          <w:szCs w:val="24"/>
        </w:rPr>
      </w:pPr>
      <w:r>
        <w:rPr>
          <w:rFonts w:ascii="Times New Roman" w:hAnsi="Times New Roman"/>
          <w:szCs w:val="24"/>
        </w:rPr>
        <w:t>The Children Act of Kenya prohibits contractors from “employing children in a manner that is economically exploitative, hazardous, and detrimental to the child’s education, harmful to the child’s health or physical, mental, spiritual, moral, or social development. It is also important to be vigilant towards potential sexual exploitation of children, especially young girls. The contractor should adopt a ‘Child Protection Code of Conduct’; that all staff of the contractor must sign, committing themselves towards protecting children, which clearly defines what is and is not acceptable behaviour.</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296"/>
      </w:tblGrid>
      <w:tr w14:paraId="4EE9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3FAF9B69">
            <w:pPr>
              <w:spacing w:line="240" w:lineRule="auto"/>
              <w:rPr>
                <w:rFonts w:ascii="Times New Roman" w:hAnsi="Times New Roman"/>
                <w:szCs w:val="24"/>
              </w:rPr>
            </w:pPr>
            <w:r>
              <w:rPr>
                <w:rFonts w:ascii="Times New Roman" w:hAnsi="Times New Roman"/>
                <w:szCs w:val="24"/>
              </w:rPr>
              <w:t>Mitigation:</w:t>
            </w:r>
          </w:p>
        </w:tc>
      </w:tr>
      <w:tr w14:paraId="1EDE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7CAC589B">
            <w:pPr>
              <w:pStyle w:val="32"/>
              <w:numPr>
                <w:ilvl w:val="0"/>
                <w:numId w:val="52"/>
              </w:numPr>
              <w:spacing w:line="240" w:lineRule="auto"/>
              <w:rPr>
                <w:rFonts w:ascii="Times New Roman" w:hAnsi="Times New Roman"/>
                <w:szCs w:val="24"/>
              </w:rPr>
            </w:pPr>
            <w:r>
              <w:rPr>
                <w:rFonts w:ascii="Times New Roman" w:hAnsi="Times New Roman"/>
                <w:szCs w:val="24"/>
              </w:rPr>
              <w:t>Ensure no children are employed on site in accordance with national labour laws.</w:t>
            </w:r>
          </w:p>
          <w:p w14:paraId="7AD029BE">
            <w:pPr>
              <w:pStyle w:val="32"/>
              <w:numPr>
                <w:ilvl w:val="0"/>
                <w:numId w:val="52"/>
              </w:numPr>
              <w:spacing w:line="240" w:lineRule="auto"/>
              <w:rPr>
                <w:rFonts w:ascii="Times New Roman" w:hAnsi="Times New Roman"/>
                <w:szCs w:val="24"/>
              </w:rPr>
            </w:pPr>
            <w:r>
              <w:rPr>
                <w:rFonts w:ascii="Times New Roman" w:hAnsi="Times New Roman"/>
                <w:szCs w:val="24"/>
              </w:rPr>
              <w:t>Ensure that any child sexual relations offenses among contractors' workers are promptly reported to the police.</w:t>
            </w:r>
          </w:p>
        </w:tc>
      </w:tr>
    </w:tbl>
    <w:p w14:paraId="512B4756">
      <w:pPr>
        <w:spacing w:line="240" w:lineRule="auto"/>
        <w:rPr>
          <w:rFonts w:ascii="Times New Roman" w:hAnsi="Times New Roman"/>
          <w:szCs w:val="24"/>
        </w:rPr>
      </w:pPr>
    </w:p>
    <w:p w14:paraId="045C9C17">
      <w:pPr>
        <w:spacing w:after="0" w:line="240" w:lineRule="auto"/>
        <w:rPr>
          <w:rFonts w:ascii="Times New Roman" w:hAnsi="Times New Roman"/>
          <w:b/>
          <w:bCs/>
          <w:szCs w:val="24"/>
        </w:rPr>
      </w:pPr>
      <w:bookmarkStart w:id="588" w:name="_Toc534726095"/>
      <w:r>
        <w:rPr>
          <w:rFonts w:ascii="Times New Roman" w:hAnsi="Times New Roman"/>
          <w:b/>
          <w:bCs/>
          <w:szCs w:val="24"/>
        </w:rPr>
        <w:t>Labour Influx Effects</w:t>
      </w:r>
      <w:bookmarkEnd w:id="588"/>
    </w:p>
    <w:p w14:paraId="6FDCDCC5">
      <w:pPr>
        <w:spacing w:after="0" w:line="240" w:lineRule="auto"/>
        <w:jc w:val="both"/>
        <w:rPr>
          <w:rFonts w:ascii="Times New Roman" w:hAnsi="Times New Roman" w:eastAsia="Times New Roman"/>
          <w:szCs w:val="24"/>
        </w:rPr>
      </w:pPr>
      <w:r>
        <w:rPr>
          <w:rFonts w:ascii="Times New Roman" w:hAnsi="Times New Roman" w:eastAsia="Times New Roman"/>
          <w:szCs w:val="24"/>
        </w:rPr>
        <w:t xml:space="preserve">Large construction projects often require labour force and associated goods and services cannot be fully supplied locally for reasons such as worker unavailability and lack of technical skills and capacity. In such cases, the labour force (total or partial) needs to be brought in from outside the project area. This influx is compounded by an influx of other people who follow the incoming workforce with the aim of selling them goods and services, or in pursuit of job or business opportunities. The influx of workers can have adverse social and environmental impacts on local communities, particularly if the communities are rural, remote or small. </w:t>
      </w:r>
    </w:p>
    <w:p w14:paraId="070E572C">
      <w:pPr>
        <w:spacing w:after="0" w:line="240" w:lineRule="auto"/>
        <w:rPr>
          <w:rFonts w:ascii="Times New Roman" w:hAnsi="Times New Roman" w:eastAsia="Times New Roman"/>
          <w:szCs w:val="24"/>
        </w:rPr>
      </w:pPr>
      <w:r>
        <w:rPr>
          <w:rFonts w:ascii="Times New Roman" w:hAnsi="Times New Roman" w:eastAsia="Times New Roman"/>
          <w:szCs w:val="24"/>
        </w:rPr>
        <w:t>Adverse effects include.</w:t>
      </w:r>
    </w:p>
    <w:p w14:paraId="4C32F226">
      <w:pPr>
        <w:numPr>
          <w:ilvl w:val="0"/>
          <w:numId w:val="55"/>
        </w:numPr>
        <w:spacing w:after="0" w:line="240" w:lineRule="auto"/>
        <w:contextualSpacing/>
        <w:jc w:val="both"/>
        <w:rPr>
          <w:rFonts w:ascii="Times New Roman" w:hAnsi="Times New Roman"/>
          <w:szCs w:val="24"/>
        </w:rPr>
      </w:pPr>
      <w:r>
        <w:rPr>
          <w:rFonts w:ascii="Times New Roman" w:hAnsi="Times New Roman"/>
          <w:szCs w:val="24"/>
        </w:rPr>
        <w:t>Increased demand and competition for local social and health services, as well as for goods and services, which can lead to price hikes and crowding out of local consumers.</w:t>
      </w:r>
    </w:p>
    <w:p w14:paraId="59807A5D">
      <w:pPr>
        <w:numPr>
          <w:ilvl w:val="0"/>
          <w:numId w:val="55"/>
        </w:numPr>
        <w:spacing w:after="0" w:line="240" w:lineRule="auto"/>
        <w:contextualSpacing/>
        <w:jc w:val="both"/>
        <w:rPr>
          <w:rFonts w:ascii="Times New Roman" w:hAnsi="Times New Roman"/>
          <w:szCs w:val="24"/>
        </w:rPr>
      </w:pPr>
      <w:r>
        <w:rPr>
          <w:rFonts w:ascii="Times New Roman" w:hAnsi="Times New Roman"/>
          <w:szCs w:val="24"/>
        </w:rPr>
        <w:t xml:space="preserve">Increased volume of traffic and higher risk of accidents </w:t>
      </w:r>
    </w:p>
    <w:p w14:paraId="30E32478">
      <w:pPr>
        <w:numPr>
          <w:ilvl w:val="0"/>
          <w:numId w:val="55"/>
        </w:numPr>
        <w:spacing w:after="0" w:line="240" w:lineRule="auto"/>
        <w:contextualSpacing/>
        <w:jc w:val="both"/>
        <w:rPr>
          <w:rFonts w:ascii="Times New Roman" w:hAnsi="Times New Roman"/>
          <w:szCs w:val="24"/>
        </w:rPr>
      </w:pPr>
      <w:r>
        <w:rPr>
          <w:rFonts w:ascii="Times New Roman" w:hAnsi="Times New Roman"/>
          <w:szCs w:val="24"/>
        </w:rPr>
        <w:t>Higher demands on the ecosystem and natural resources</w:t>
      </w:r>
    </w:p>
    <w:p w14:paraId="14FACB8A">
      <w:pPr>
        <w:numPr>
          <w:ilvl w:val="0"/>
          <w:numId w:val="55"/>
        </w:numPr>
        <w:spacing w:after="0" w:line="240" w:lineRule="auto"/>
        <w:contextualSpacing/>
        <w:jc w:val="both"/>
        <w:rPr>
          <w:rFonts w:ascii="Times New Roman" w:hAnsi="Times New Roman"/>
          <w:szCs w:val="24"/>
        </w:rPr>
      </w:pPr>
      <w:r>
        <w:rPr>
          <w:rFonts w:ascii="Times New Roman" w:hAnsi="Times New Roman"/>
          <w:szCs w:val="24"/>
        </w:rPr>
        <w:t>Increased risk of spread of communicable diseases</w:t>
      </w:r>
    </w:p>
    <w:p w14:paraId="745F2C98">
      <w:pPr>
        <w:numPr>
          <w:ilvl w:val="0"/>
          <w:numId w:val="55"/>
        </w:numPr>
        <w:spacing w:after="0" w:line="240" w:lineRule="auto"/>
        <w:contextualSpacing/>
        <w:jc w:val="both"/>
        <w:rPr>
          <w:rFonts w:ascii="Times New Roman" w:hAnsi="Times New Roman"/>
          <w:szCs w:val="24"/>
        </w:rPr>
      </w:pPr>
      <w:r>
        <w:rPr>
          <w:rFonts w:ascii="Times New Roman" w:hAnsi="Times New Roman"/>
          <w:szCs w:val="24"/>
        </w:rPr>
        <w:t>Increase in illicit behaviour and crime.</w:t>
      </w:r>
    </w:p>
    <w:p w14:paraId="023EBDA8">
      <w:pPr>
        <w:numPr>
          <w:ilvl w:val="0"/>
          <w:numId w:val="55"/>
        </w:numPr>
        <w:spacing w:after="0" w:line="240" w:lineRule="auto"/>
        <w:contextualSpacing/>
        <w:jc w:val="both"/>
        <w:rPr>
          <w:rFonts w:ascii="Times New Roman" w:hAnsi="Times New Roman"/>
          <w:szCs w:val="24"/>
        </w:rPr>
      </w:pPr>
      <w:r>
        <w:rPr>
          <w:rFonts w:ascii="Times New Roman" w:hAnsi="Times New Roman"/>
          <w:szCs w:val="24"/>
        </w:rPr>
        <w:t xml:space="preserve">Social conflicts within and between communities </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296"/>
      </w:tblGrid>
      <w:tr w14:paraId="2DCE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3BFE8204">
            <w:pPr>
              <w:spacing w:after="120" w:line="240" w:lineRule="auto"/>
              <w:jc w:val="both"/>
              <w:rPr>
                <w:rFonts w:ascii="Times New Roman" w:hAnsi="Times New Roman"/>
                <w:b/>
                <w:szCs w:val="24"/>
              </w:rPr>
            </w:pPr>
            <w:r>
              <w:rPr>
                <w:rFonts w:ascii="Times New Roman" w:hAnsi="Times New Roman"/>
                <w:b/>
                <w:szCs w:val="24"/>
              </w:rPr>
              <w:t>Mitigation:</w:t>
            </w:r>
          </w:p>
        </w:tc>
      </w:tr>
      <w:tr w14:paraId="090D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6AB037E1">
            <w:pPr>
              <w:numPr>
                <w:ilvl w:val="0"/>
                <w:numId w:val="52"/>
              </w:numPr>
              <w:spacing w:after="120" w:line="240" w:lineRule="auto"/>
              <w:contextualSpacing/>
              <w:jc w:val="both"/>
              <w:rPr>
                <w:rFonts w:ascii="Times New Roman" w:hAnsi="Times New Roman"/>
                <w:szCs w:val="24"/>
              </w:rPr>
            </w:pPr>
            <w:r>
              <w:rPr>
                <w:rFonts w:ascii="Times New Roman" w:hAnsi="Times New Roman"/>
                <w:szCs w:val="24"/>
              </w:rPr>
              <w:t>Reduce labour influx by tapping into the local workforce. Depending on the size and the skill level of the local workforce, a share of the workers required for the project may be recruited locally. This may be easier for unskilled workmen. Specialised workmen may be hired from elsewhere. Local workers may also be trained especially if they are required for the operation of the project.</w:t>
            </w:r>
          </w:p>
          <w:p w14:paraId="055C9F2A">
            <w:pPr>
              <w:numPr>
                <w:ilvl w:val="0"/>
                <w:numId w:val="52"/>
              </w:numPr>
              <w:spacing w:after="120" w:line="240" w:lineRule="auto"/>
              <w:contextualSpacing/>
              <w:jc w:val="both"/>
              <w:rPr>
                <w:rFonts w:ascii="Times New Roman" w:hAnsi="Times New Roman"/>
                <w:szCs w:val="24"/>
              </w:rPr>
            </w:pPr>
            <w:r>
              <w:rPr>
                <w:rFonts w:ascii="Times New Roman" w:hAnsi="Times New Roman"/>
                <w:szCs w:val="24"/>
              </w:rPr>
              <w:t xml:space="preserve">Effective contractual obligations for the contractor to adhere to the mitigation of risks against labour influx. Depending on the risk factor, appropriate mitigation measures may be deployed. </w:t>
            </w:r>
          </w:p>
          <w:p w14:paraId="4D52BB5D">
            <w:pPr>
              <w:numPr>
                <w:ilvl w:val="0"/>
                <w:numId w:val="52"/>
              </w:numPr>
              <w:spacing w:after="120" w:line="240" w:lineRule="auto"/>
              <w:contextualSpacing/>
              <w:jc w:val="both"/>
              <w:rPr>
                <w:rFonts w:ascii="Times New Roman" w:hAnsi="Times New Roman"/>
                <w:szCs w:val="24"/>
              </w:rPr>
            </w:pPr>
            <w:r>
              <w:rPr>
                <w:rFonts w:ascii="Times New Roman" w:hAnsi="Times New Roman"/>
                <w:szCs w:val="24"/>
              </w:rPr>
              <w:t xml:space="preserve">The works contractor should be required, under its contract, to prepare and enforce a No Sexual Harassment and Non-Discrimination Policy, in accordance with national law as well as to the World Bank Code of Conduct guidelines where applicable.  </w:t>
            </w:r>
          </w:p>
          <w:p w14:paraId="79EAC5F5">
            <w:pPr>
              <w:numPr>
                <w:ilvl w:val="0"/>
                <w:numId w:val="52"/>
              </w:numPr>
              <w:spacing w:after="120" w:line="240" w:lineRule="auto"/>
              <w:jc w:val="both"/>
              <w:rPr>
                <w:rFonts w:ascii="Times New Roman" w:hAnsi="Times New Roman"/>
                <w:szCs w:val="24"/>
              </w:rPr>
            </w:pPr>
            <w:r>
              <w:rPr>
                <w:rFonts w:ascii="Times New Roman" w:hAnsi="Times New Roman"/>
                <w:szCs w:val="24"/>
              </w:rPr>
              <w:t xml:space="preserve">The contractor should prepare and implement a gender action plan, to include at minimum: </w:t>
            </w:r>
          </w:p>
          <w:p w14:paraId="3EB94CC7">
            <w:pPr>
              <w:numPr>
                <w:ilvl w:val="0"/>
                <w:numId w:val="56"/>
              </w:numPr>
              <w:spacing w:after="120" w:line="240" w:lineRule="auto"/>
              <w:contextualSpacing/>
              <w:jc w:val="both"/>
              <w:rPr>
                <w:rFonts w:ascii="Times New Roman" w:hAnsi="Times New Roman"/>
                <w:szCs w:val="24"/>
              </w:rPr>
            </w:pPr>
            <w:r>
              <w:rPr>
                <w:rFonts w:ascii="Times New Roman" w:hAnsi="Times New Roman"/>
                <w:szCs w:val="24"/>
              </w:rPr>
              <w:t>Gender mainstreaming in employment at the worksite with opportunities provided for females to work, in consonance with local laws and customs</w:t>
            </w:r>
          </w:p>
          <w:p w14:paraId="65C34309">
            <w:pPr>
              <w:numPr>
                <w:ilvl w:val="0"/>
                <w:numId w:val="56"/>
              </w:numPr>
              <w:spacing w:after="120" w:line="240" w:lineRule="auto"/>
              <w:contextualSpacing/>
              <w:jc w:val="both"/>
              <w:rPr>
                <w:rFonts w:ascii="Times New Roman" w:hAnsi="Times New Roman"/>
                <w:szCs w:val="24"/>
              </w:rPr>
            </w:pPr>
            <w:r>
              <w:rPr>
                <w:rFonts w:ascii="Times New Roman" w:hAnsi="Times New Roman"/>
                <w:szCs w:val="24"/>
              </w:rPr>
              <w:t>Gender sensitization of workers (this could be done by the HIV/AIDS services provider; see above)</w:t>
            </w:r>
          </w:p>
          <w:p w14:paraId="0EEF9AD2">
            <w:pPr>
              <w:numPr>
                <w:ilvl w:val="0"/>
                <w:numId w:val="56"/>
              </w:numPr>
              <w:spacing w:after="120" w:line="240" w:lineRule="auto"/>
              <w:contextualSpacing/>
              <w:jc w:val="both"/>
              <w:rPr>
                <w:rFonts w:ascii="Times New Roman" w:hAnsi="Times New Roman"/>
                <w:szCs w:val="24"/>
              </w:rPr>
            </w:pPr>
            <w:r>
              <w:rPr>
                <w:rFonts w:ascii="Times New Roman" w:hAnsi="Times New Roman"/>
                <w:szCs w:val="24"/>
              </w:rPr>
              <w:t>Provision of gender disaggregated bathing, changing, sanitation facilities</w:t>
            </w:r>
          </w:p>
          <w:p w14:paraId="19132902">
            <w:pPr>
              <w:numPr>
                <w:ilvl w:val="0"/>
                <w:numId w:val="56"/>
              </w:numPr>
              <w:spacing w:after="120" w:line="240" w:lineRule="auto"/>
              <w:contextualSpacing/>
              <w:jc w:val="both"/>
              <w:rPr>
                <w:rFonts w:ascii="Times New Roman" w:hAnsi="Times New Roman"/>
                <w:szCs w:val="24"/>
              </w:rPr>
            </w:pPr>
            <w:r>
              <w:rPr>
                <w:rFonts w:ascii="Times New Roman" w:hAnsi="Times New Roman"/>
                <w:szCs w:val="24"/>
              </w:rPr>
              <w:t xml:space="preserve">Grievance redress mechanisms including non-retaliation.  </w:t>
            </w:r>
          </w:p>
          <w:p w14:paraId="0F18E67B">
            <w:pPr>
              <w:numPr>
                <w:ilvl w:val="0"/>
                <w:numId w:val="52"/>
              </w:numPr>
              <w:spacing w:after="120" w:line="240" w:lineRule="auto"/>
              <w:contextualSpacing/>
              <w:jc w:val="both"/>
              <w:rPr>
                <w:rFonts w:ascii="Times New Roman" w:hAnsi="Times New Roman"/>
                <w:szCs w:val="24"/>
              </w:rPr>
            </w:pPr>
            <w:r>
              <w:rPr>
                <w:rFonts w:ascii="Times New Roman" w:hAnsi="Times New Roman"/>
                <w:szCs w:val="24"/>
              </w:rPr>
              <w:t xml:space="preserve">Effective community   engagement and   strong grievance mechanisms on matters related to labour </w:t>
            </w:r>
          </w:p>
          <w:p w14:paraId="494EAB5D">
            <w:pPr>
              <w:numPr>
                <w:ilvl w:val="0"/>
                <w:numId w:val="52"/>
              </w:numPr>
              <w:spacing w:after="120" w:line="240" w:lineRule="auto"/>
              <w:contextualSpacing/>
              <w:jc w:val="both"/>
              <w:rPr>
                <w:rFonts w:ascii="Times New Roman" w:hAnsi="Times New Roman"/>
                <w:szCs w:val="24"/>
              </w:rPr>
            </w:pPr>
            <w:r>
              <w:rPr>
                <w:rFonts w:ascii="Times New Roman" w:hAnsi="Times New Roman"/>
                <w:szCs w:val="24"/>
              </w:rPr>
              <w:t>All workers to sign employment contract including Code of Conduct</w:t>
            </w:r>
          </w:p>
          <w:p w14:paraId="6A10EED7">
            <w:pPr>
              <w:numPr>
                <w:ilvl w:val="0"/>
                <w:numId w:val="52"/>
              </w:numPr>
              <w:spacing w:after="120" w:line="240" w:lineRule="auto"/>
              <w:contextualSpacing/>
              <w:jc w:val="both"/>
              <w:rPr>
                <w:rFonts w:ascii="Times New Roman" w:hAnsi="Times New Roman"/>
                <w:szCs w:val="24"/>
              </w:rPr>
            </w:pPr>
            <w:r>
              <w:rPr>
                <w:rFonts w:ascii="Times New Roman" w:hAnsi="Times New Roman"/>
                <w:szCs w:val="24"/>
              </w:rPr>
              <w:t>Sensitize workers on community based social behaviour and conduct.</w:t>
            </w:r>
          </w:p>
          <w:p w14:paraId="26A7A911">
            <w:pPr>
              <w:numPr>
                <w:ilvl w:val="0"/>
                <w:numId w:val="52"/>
              </w:numPr>
              <w:spacing w:after="120" w:line="240" w:lineRule="auto"/>
              <w:contextualSpacing/>
              <w:jc w:val="both"/>
              <w:rPr>
                <w:rFonts w:ascii="Times New Roman" w:hAnsi="Times New Roman"/>
                <w:szCs w:val="24"/>
              </w:rPr>
            </w:pPr>
            <w:r>
              <w:rPr>
                <w:rFonts w:ascii="Times New Roman" w:hAnsi="Times New Roman"/>
                <w:szCs w:val="24"/>
              </w:rPr>
              <w:t>Efforts to be geared toward instilling attitudes of tolerance, support and understanding of labour immigrates by the local communities</w:t>
            </w:r>
          </w:p>
        </w:tc>
      </w:tr>
    </w:tbl>
    <w:p w14:paraId="6BDCC78D">
      <w:pPr>
        <w:spacing w:line="240" w:lineRule="auto"/>
        <w:rPr>
          <w:rFonts w:ascii="Times New Roman" w:hAnsi="Times New Roman"/>
          <w:szCs w:val="24"/>
        </w:rPr>
      </w:pPr>
    </w:p>
    <w:p w14:paraId="0FE06CF4">
      <w:pPr>
        <w:spacing w:after="0" w:line="240" w:lineRule="auto"/>
        <w:rPr>
          <w:rFonts w:ascii="Times New Roman" w:hAnsi="Times New Roman"/>
          <w:b/>
          <w:bCs/>
          <w:szCs w:val="24"/>
        </w:rPr>
      </w:pPr>
      <w:r>
        <w:rPr>
          <w:rFonts w:ascii="Times New Roman" w:hAnsi="Times New Roman"/>
          <w:b/>
          <w:bCs/>
          <w:szCs w:val="24"/>
        </w:rPr>
        <w:t>Gender Equity, Sexual Harassment</w:t>
      </w:r>
    </w:p>
    <w:p w14:paraId="2FC08284">
      <w:pPr>
        <w:spacing w:after="0" w:line="240" w:lineRule="auto"/>
        <w:jc w:val="both"/>
        <w:rPr>
          <w:rFonts w:ascii="Times New Roman" w:hAnsi="Times New Roman"/>
          <w:szCs w:val="24"/>
        </w:rPr>
      </w:pPr>
      <w:r>
        <w:rPr>
          <w:rFonts w:ascii="Times New Roman" w:hAnsi="Times New Roman"/>
          <w:szCs w:val="24"/>
        </w:rPr>
        <w:t>Construction workers are predominantly younger males. Those who are away from home on the construction job are typically separated from their family and act outside their normal sphere of social control. This can lead to inappropriate and criminal behaviour, such as sexual harassment of women and girls, exploitative sexual relations, and illicit sexual relations with minors from the local community. In large scale cases, male labour may also lead to an increase in exploitative sexual relationships and human trafficking whereby women and girls are forced into sex work.</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Layout w:type="fixed"/>
        <w:tblCellMar>
          <w:top w:w="0" w:type="dxa"/>
          <w:left w:w="108" w:type="dxa"/>
          <w:bottom w:w="0" w:type="dxa"/>
          <w:right w:w="108" w:type="dxa"/>
        </w:tblCellMar>
      </w:tblPr>
      <w:tblGrid>
        <w:gridCol w:w="8296"/>
      </w:tblGrid>
      <w:tr w14:paraId="67BE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075BCC70">
            <w:pPr>
              <w:spacing w:line="240" w:lineRule="auto"/>
              <w:rPr>
                <w:rFonts w:ascii="Times New Roman" w:hAnsi="Times New Roman"/>
                <w:szCs w:val="24"/>
              </w:rPr>
            </w:pPr>
            <w:r>
              <w:rPr>
                <w:rFonts w:ascii="Times New Roman" w:hAnsi="Times New Roman"/>
                <w:szCs w:val="24"/>
              </w:rPr>
              <w:t>Mitigation:</w:t>
            </w:r>
          </w:p>
        </w:tc>
      </w:tr>
      <w:tr w14:paraId="3AA2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B8B7"/>
          <w:tblCellMar>
            <w:top w:w="0" w:type="dxa"/>
            <w:left w:w="108" w:type="dxa"/>
            <w:bottom w:w="0" w:type="dxa"/>
            <w:right w:w="108" w:type="dxa"/>
          </w:tblCellMar>
        </w:tblPrEx>
        <w:tc>
          <w:tcPr>
            <w:tcW w:w="8296" w:type="dxa"/>
            <w:shd w:val="clear" w:color="auto" w:fill="E5B8B7"/>
          </w:tcPr>
          <w:p w14:paraId="134B32AD">
            <w:pPr>
              <w:pStyle w:val="32"/>
              <w:numPr>
                <w:ilvl w:val="0"/>
                <w:numId w:val="52"/>
              </w:numPr>
              <w:spacing w:line="240" w:lineRule="auto"/>
              <w:jc w:val="both"/>
              <w:rPr>
                <w:rFonts w:ascii="Times New Roman" w:hAnsi="Times New Roman"/>
                <w:szCs w:val="24"/>
              </w:rPr>
            </w:pPr>
            <w:r>
              <w:rPr>
                <w:rFonts w:ascii="Times New Roman" w:hAnsi="Times New Roman"/>
                <w:szCs w:val="24"/>
              </w:rPr>
              <w:t xml:space="preserve">The works contractor should be required, under its contract, to prepare and enforce a No Sexual Harassment and Non-Discrimination Policy, in accordance with national law where applicable.  </w:t>
            </w:r>
          </w:p>
          <w:p w14:paraId="46E3E4FF">
            <w:pPr>
              <w:pStyle w:val="32"/>
              <w:numPr>
                <w:ilvl w:val="0"/>
                <w:numId w:val="52"/>
              </w:numPr>
              <w:spacing w:line="240" w:lineRule="auto"/>
              <w:jc w:val="both"/>
              <w:rPr>
                <w:rFonts w:ascii="Times New Roman" w:hAnsi="Times New Roman"/>
                <w:szCs w:val="24"/>
              </w:rPr>
            </w:pPr>
            <w:r>
              <w:rPr>
                <w:rFonts w:ascii="Times New Roman" w:hAnsi="Times New Roman"/>
                <w:szCs w:val="24"/>
              </w:rPr>
              <w:t>Strive for an equitable distribution of employment opportunities between men and women. Mainstream Gender Inclusivity in hiring of workers as required by Gender Policy 2011 and the 2/3 gender rule;</w:t>
            </w:r>
          </w:p>
          <w:p w14:paraId="2FD4F5C9">
            <w:pPr>
              <w:pStyle w:val="32"/>
              <w:numPr>
                <w:ilvl w:val="0"/>
                <w:numId w:val="52"/>
              </w:numPr>
              <w:spacing w:line="240" w:lineRule="auto"/>
              <w:jc w:val="both"/>
              <w:rPr>
                <w:rFonts w:ascii="Times New Roman" w:hAnsi="Times New Roman"/>
                <w:szCs w:val="24"/>
              </w:rPr>
            </w:pPr>
            <w:r>
              <w:rPr>
                <w:rFonts w:ascii="Times New Roman" w:hAnsi="Times New Roman"/>
                <w:szCs w:val="24"/>
              </w:rPr>
              <w:t xml:space="preserve">The contractor should prepare and implement a gender action plan, to include at minimum: </w:t>
            </w:r>
          </w:p>
          <w:p w14:paraId="17E5F01F">
            <w:pPr>
              <w:pStyle w:val="32"/>
              <w:numPr>
                <w:ilvl w:val="0"/>
                <w:numId w:val="56"/>
              </w:numPr>
              <w:spacing w:line="240" w:lineRule="auto"/>
              <w:jc w:val="both"/>
              <w:rPr>
                <w:rFonts w:ascii="Times New Roman" w:hAnsi="Times New Roman"/>
                <w:szCs w:val="24"/>
              </w:rPr>
            </w:pPr>
            <w:r>
              <w:rPr>
                <w:rFonts w:ascii="Times New Roman" w:hAnsi="Times New Roman"/>
                <w:szCs w:val="24"/>
              </w:rPr>
              <w:t>Gender mainstreaming in employment at the worksite with opportunities provided for females to work, in consonance with local laws and customs</w:t>
            </w:r>
          </w:p>
          <w:p w14:paraId="6B398F67">
            <w:pPr>
              <w:pStyle w:val="32"/>
              <w:numPr>
                <w:ilvl w:val="0"/>
                <w:numId w:val="56"/>
              </w:numPr>
              <w:spacing w:line="240" w:lineRule="auto"/>
              <w:jc w:val="both"/>
              <w:rPr>
                <w:rFonts w:ascii="Times New Roman" w:hAnsi="Times New Roman"/>
                <w:szCs w:val="24"/>
              </w:rPr>
            </w:pPr>
            <w:r>
              <w:rPr>
                <w:rFonts w:ascii="Times New Roman" w:hAnsi="Times New Roman"/>
                <w:szCs w:val="24"/>
              </w:rPr>
              <w:t>Gender sensitization of workers (this could be done by the HIV/AIDS services provider; see above)</w:t>
            </w:r>
          </w:p>
          <w:p w14:paraId="1A3F60D3">
            <w:pPr>
              <w:pStyle w:val="32"/>
              <w:numPr>
                <w:ilvl w:val="0"/>
                <w:numId w:val="56"/>
              </w:numPr>
              <w:spacing w:line="240" w:lineRule="auto"/>
              <w:rPr>
                <w:rFonts w:ascii="Times New Roman" w:hAnsi="Times New Roman"/>
                <w:szCs w:val="24"/>
              </w:rPr>
            </w:pPr>
            <w:r>
              <w:rPr>
                <w:rFonts w:ascii="Times New Roman" w:hAnsi="Times New Roman"/>
                <w:szCs w:val="24"/>
              </w:rPr>
              <w:t>Provision of gender disaggregated bathing, changing, sanitation facilities</w:t>
            </w:r>
          </w:p>
          <w:p w14:paraId="0C72429E">
            <w:pPr>
              <w:pStyle w:val="32"/>
              <w:numPr>
                <w:ilvl w:val="0"/>
                <w:numId w:val="56"/>
              </w:numPr>
              <w:spacing w:line="240" w:lineRule="auto"/>
              <w:rPr>
                <w:rFonts w:ascii="Times New Roman" w:hAnsi="Times New Roman"/>
                <w:szCs w:val="24"/>
              </w:rPr>
            </w:pPr>
            <w:r>
              <w:rPr>
                <w:rFonts w:ascii="Times New Roman" w:hAnsi="Times New Roman"/>
                <w:szCs w:val="24"/>
              </w:rPr>
              <w:t xml:space="preserve">Grievance redress mechanisms including non-retaliation.  </w:t>
            </w:r>
          </w:p>
          <w:p w14:paraId="16725136">
            <w:pPr>
              <w:pStyle w:val="32"/>
              <w:numPr>
                <w:ilvl w:val="0"/>
                <w:numId w:val="57"/>
              </w:numPr>
              <w:spacing w:line="240" w:lineRule="auto"/>
              <w:rPr>
                <w:rFonts w:ascii="Times New Roman" w:hAnsi="Times New Roman"/>
                <w:szCs w:val="24"/>
              </w:rPr>
            </w:pPr>
            <w:r>
              <w:rPr>
                <w:rFonts w:ascii="Times New Roman" w:hAnsi="Times New Roman"/>
                <w:szCs w:val="24"/>
              </w:rPr>
              <w:t>Provide toilets and bathrooms for both male and female workers on site</w:t>
            </w:r>
          </w:p>
        </w:tc>
      </w:tr>
    </w:tbl>
    <w:p w14:paraId="7E59EADA">
      <w:pPr>
        <w:spacing w:line="240" w:lineRule="auto"/>
        <w:rPr>
          <w:rFonts w:ascii="Times New Roman" w:hAnsi="Times New Roman"/>
          <w:szCs w:val="24"/>
        </w:rPr>
      </w:pPr>
    </w:p>
    <w:p w14:paraId="5A9397D1">
      <w:pPr>
        <w:spacing w:after="0" w:line="240" w:lineRule="auto"/>
        <w:rPr>
          <w:rFonts w:ascii="Times New Roman" w:hAnsi="Times New Roman"/>
          <w:b/>
          <w:bCs/>
          <w:szCs w:val="24"/>
        </w:rPr>
      </w:pPr>
      <w:bookmarkStart w:id="589" w:name="_Toc503656213"/>
      <w:r>
        <w:rPr>
          <w:rFonts w:ascii="Times New Roman" w:hAnsi="Times New Roman"/>
          <w:b/>
          <w:bCs/>
          <w:szCs w:val="24"/>
        </w:rPr>
        <w:t xml:space="preserve">Gender-Based Violence and Sexual Harassment </w:t>
      </w:r>
    </w:p>
    <w:bookmarkEnd w:id="589"/>
    <w:p w14:paraId="6B34190C">
      <w:pPr>
        <w:spacing w:after="0" w:line="240" w:lineRule="auto"/>
        <w:rPr>
          <w:rFonts w:ascii="Times New Roman" w:hAnsi="Times New Roman"/>
          <w:szCs w:val="24"/>
        </w:rPr>
      </w:pPr>
      <w:r>
        <w:rPr>
          <w:rFonts w:ascii="Times New Roman" w:hAnsi="Times New Roman"/>
          <w:szCs w:val="24"/>
        </w:rPr>
        <w:t>This impact is triggered during Project Construction Phase when the Contractor fails to comply with the following provisions;</w:t>
      </w:r>
    </w:p>
    <w:p w14:paraId="48B1BF52">
      <w:pPr>
        <w:pStyle w:val="32"/>
        <w:numPr>
          <w:ilvl w:val="0"/>
          <w:numId w:val="58"/>
        </w:numPr>
        <w:tabs>
          <w:tab w:val="left" w:pos="1530"/>
        </w:tabs>
        <w:spacing w:after="0" w:line="240" w:lineRule="auto"/>
        <w:jc w:val="both"/>
        <w:rPr>
          <w:rFonts w:ascii="Times New Roman" w:hAnsi="Times New Roman" w:eastAsia="Arial"/>
          <w:szCs w:val="24"/>
        </w:rPr>
      </w:pPr>
      <w:r>
        <w:rPr>
          <w:rFonts w:ascii="Times New Roman" w:hAnsi="Times New Roman" w:eastAsia="Arial"/>
          <w:szCs w:val="24"/>
        </w:rPr>
        <w:t xml:space="preserve">Gender Inclusivity requirements in hiring of workers and entire Project Management as required by Gender Policy 2011 and 2/3 gender rule. </w:t>
      </w:r>
    </w:p>
    <w:p w14:paraId="66057E3C">
      <w:pPr>
        <w:pStyle w:val="32"/>
        <w:numPr>
          <w:ilvl w:val="0"/>
          <w:numId w:val="58"/>
        </w:numPr>
        <w:tabs>
          <w:tab w:val="left" w:pos="1530"/>
        </w:tabs>
        <w:spacing w:after="0" w:line="240" w:lineRule="auto"/>
        <w:jc w:val="both"/>
        <w:rPr>
          <w:rFonts w:ascii="Times New Roman" w:hAnsi="Times New Roman" w:eastAsia="Arial"/>
          <w:szCs w:val="24"/>
        </w:rPr>
      </w:pPr>
      <w:r>
        <w:rPr>
          <w:rFonts w:ascii="Times New Roman" w:hAnsi="Times New Roman" w:eastAsia="Arial"/>
          <w:szCs w:val="24"/>
        </w:rPr>
        <w:t>Failure to protect Human Risk Areas Associated with, Disadvantaged Groups, interfering with Participation Rights, and interfering with Labour Rights.</w:t>
      </w:r>
    </w:p>
    <w:p w14:paraId="7BC8AEA4">
      <w:pPr>
        <w:widowControl w:val="0"/>
        <w:numPr>
          <w:ilvl w:val="0"/>
          <w:numId w:val="59"/>
        </w:numPr>
        <w:spacing w:after="0" w:line="240" w:lineRule="auto"/>
        <w:ind w:right="58"/>
        <w:jc w:val="both"/>
        <w:rPr>
          <w:rFonts w:ascii="Times New Roman" w:hAnsi="Times New Roman" w:eastAsia="Arial"/>
          <w:spacing w:val="2"/>
          <w:szCs w:val="24"/>
        </w:rPr>
      </w:pPr>
      <w:r>
        <w:rPr>
          <w:rFonts w:ascii="Times New Roman" w:hAnsi="Times New Roman" w:eastAsia="Arial"/>
          <w:spacing w:val="2"/>
          <w:szCs w:val="24"/>
        </w:rPr>
        <w:t>Ensure clear human resources policy against sexual harassment that is aligned with national law</w:t>
      </w:r>
    </w:p>
    <w:p w14:paraId="5CE0CA87">
      <w:pPr>
        <w:widowControl w:val="0"/>
        <w:numPr>
          <w:ilvl w:val="0"/>
          <w:numId w:val="59"/>
        </w:numPr>
        <w:spacing w:after="0" w:line="240" w:lineRule="auto"/>
        <w:ind w:right="58"/>
        <w:jc w:val="both"/>
        <w:rPr>
          <w:rFonts w:ascii="Times New Roman" w:hAnsi="Times New Roman" w:eastAsia="Arial"/>
          <w:spacing w:val="2"/>
          <w:szCs w:val="24"/>
        </w:rPr>
      </w:pPr>
      <w:r>
        <w:rPr>
          <w:rFonts w:ascii="Times New Roman" w:hAnsi="Times New Roman" w:eastAsia="Arial"/>
          <w:spacing w:val="2"/>
          <w:szCs w:val="24"/>
        </w:rPr>
        <w:t>Integrate provisions related to sexual harassment in the employee COC</w:t>
      </w:r>
    </w:p>
    <w:p w14:paraId="36C68E1C">
      <w:pPr>
        <w:widowControl w:val="0"/>
        <w:numPr>
          <w:ilvl w:val="0"/>
          <w:numId w:val="59"/>
        </w:numPr>
        <w:spacing w:after="0" w:line="240" w:lineRule="auto"/>
        <w:ind w:right="58"/>
        <w:jc w:val="both"/>
        <w:rPr>
          <w:rFonts w:ascii="Times New Roman" w:hAnsi="Times New Roman" w:eastAsia="Arial"/>
          <w:spacing w:val="2"/>
          <w:szCs w:val="24"/>
        </w:rPr>
      </w:pPr>
      <w:r>
        <w:rPr>
          <w:rFonts w:ascii="Times New Roman" w:hAnsi="Times New Roman" w:eastAsia="Arial"/>
          <w:spacing w:val="2"/>
          <w:szCs w:val="24"/>
        </w:rPr>
        <w:t>Ensure appointed human resources personnel to manage reports of sexual harassment according to policy</w:t>
      </w:r>
    </w:p>
    <w:p w14:paraId="7A46A5AE">
      <w:pPr>
        <w:widowControl w:val="0"/>
        <w:numPr>
          <w:ilvl w:val="0"/>
          <w:numId w:val="59"/>
        </w:numPr>
        <w:spacing w:after="0" w:line="240" w:lineRule="auto"/>
        <w:ind w:right="58"/>
        <w:jc w:val="both"/>
        <w:rPr>
          <w:rFonts w:ascii="Times New Roman" w:hAnsi="Times New Roman" w:eastAsia="Arial"/>
          <w:spacing w:val="2"/>
          <w:szCs w:val="24"/>
        </w:rPr>
      </w:pPr>
      <w:r>
        <w:rPr>
          <w:rFonts w:ascii="Times New Roman" w:hAnsi="Times New Roman" w:eastAsia="Arial"/>
          <w:spacing w:val="2"/>
          <w:szCs w:val="24"/>
        </w:rPr>
        <w:t>The Contractor shall require his employees, sub-contractors, sub-experts, and any personnel thereof engaged in construction works to individually sign and comply with a Code of Conduct with specific provisions on protection from sexual exploitation and abuse</w:t>
      </w:r>
    </w:p>
    <w:p w14:paraId="034EF86E">
      <w:pPr>
        <w:widowControl w:val="0"/>
        <w:numPr>
          <w:ilvl w:val="0"/>
          <w:numId w:val="59"/>
        </w:numPr>
        <w:spacing w:after="0" w:line="240" w:lineRule="auto"/>
        <w:ind w:right="58"/>
        <w:jc w:val="both"/>
        <w:rPr>
          <w:rFonts w:ascii="Times New Roman" w:hAnsi="Times New Roman" w:eastAsia="Arial"/>
          <w:spacing w:val="2"/>
          <w:szCs w:val="24"/>
        </w:rPr>
      </w:pPr>
      <w:r>
        <w:rPr>
          <w:rFonts w:ascii="Times New Roman" w:hAnsi="Times New Roman" w:eastAsia="Arial"/>
          <w:spacing w:val="2"/>
          <w:szCs w:val="24"/>
        </w:rPr>
        <w:t>The contractor will implement provisions that ensure that gender-based violence at the community level is not triggered by the Project, including:</w:t>
      </w:r>
    </w:p>
    <w:p w14:paraId="079D3CF3">
      <w:pPr>
        <w:widowControl w:val="0"/>
        <w:numPr>
          <w:ilvl w:val="0"/>
          <w:numId w:val="60"/>
        </w:numPr>
        <w:spacing w:after="0" w:line="240" w:lineRule="auto"/>
        <w:ind w:left="2268" w:right="58"/>
        <w:jc w:val="both"/>
        <w:rPr>
          <w:rFonts w:ascii="Times New Roman" w:hAnsi="Times New Roman" w:eastAsia="Arial"/>
          <w:spacing w:val="2"/>
          <w:szCs w:val="24"/>
        </w:rPr>
      </w:pPr>
      <w:r>
        <w:rPr>
          <w:rFonts w:ascii="Times New Roman" w:hAnsi="Times New Roman" w:eastAsia="Arial"/>
          <w:spacing w:val="2"/>
          <w:szCs w:val="24"/>
        </w:rPr>
        <w:t>Effective and on-going community engagement and consultation, particularly with women and girls;</w:t>
      </w:r>
    </w:p>
    <w:p w14:paraId="3637F778">
      <w:pPr>
        <w:widowControl w:val="0"/>
        <w:numPr>
          <w:ilvl w:val="0"/>
          <w:numId w:val="60"/>
        </w:numPr>
        <w:spacing w:after="0" w:line="240" w:lineRule="auto"/>
        <w:ind w:left="2268" w:right="58"/>
        <w:jc w:val="both"/>
        <w:rPr>
          <w:rFonts w:ascii="Times New Roman" w:hAnsi="Times New Roman" w:eastAsia="Arial"/>
          <w:spacing w:val="2"/>
          <w:szCs w:val="24"/>
        </w:rPr>
      </w:pPr>
      <w:r>
        <w:rPr>
          <w:rFonts w:ascii="Times New Roman" w:hAnsi="Times New Roman" w:eastAsia="Arial"/>
          <w:spacing w:val="2"/>
          <w:szCs w:val="24"/>
        </w:rPr>
        <w:t>Review of specific project components that are known to heighten GBV risk at the community level, e.g. Compensation schemes; employment schemes for women; etc.</w:t>
      </w:r>
    </w:p>
    <w:p w14:paraId="1C1D821D">
      <w:pPr>
        <w:widowControl w:val="0"/>
        <w:numPr>
          <w:ilvl w:val="0"/>
          <w:numId w:val="59"/>
        </w:numPr>
        <w:spacing w:after="0" w:line="240" w:lineRule="auto"/>
        <w:ind w:right="58"/>
        <w:jc w:val="both"/>
        <w:rPr>
          <w:rFonts w:ascii="Times New Roman" w:hAnsi="Times New Roman" w:eastAsia="Arial"/>
          <w:spacing w:val="2"/>
          <w:szCs w:val="24"/>
        </w:rPr>
      </w:pPr>
      <w:r>
        <w:rPr>
          <w:rFonts w:ascii="Times New Roman" w:hAnsi="Times New Roman" w:eastAsia="Arial"/>
          <w:spacing w:val="2"/>
          <w:szCs w:val="24"/>
        </w:rPr>
        <w:t>The contractor shall develop specific plan for mitigating these known risks, e.g. Sensitization around gender-equitable approaches to compensation and employment; etc</w:t>
      </w:r>
    </w:p>
    <w:p w14:paraId="331560B0">
      <w:pPr>
        <w:widowControl w:val="0"/>
        <w:numPr>
          <w:ilvl w:val="0"/>
          <w:numId w:val="59"/>
        </w:numPr>
        <w:spacing w:after="0" w:line="240" w:lineRule="auto"/>
        <w:ind w:right="58"/>
        <w:jc w:val="both"/>
        <w:rPr>
          <w:rFonts w:ascii="Times New Roman" w:hAnsi="Times New Roman" w:eastAsia="Arial"/>
          <w:spacing w:val="2"/>
          <w:szCs w:val="24"/>
        </w:rPr>
      </w:pPr>
      <w:r>
        <w:rPr>
          <w:rFonts w:ascii="Times New Roman" w:hAnsi="Times New Roman" w:eastAsia="Arial"/>
          <w:spacing w:val="2"/>
          <w:szCs w:val="24"/>
        </w:rPr>
        <w:t>The contractor will ensure adequate referral mechanisms are in place if a case of GBV at the community level is reported related to project implementation.</w:t>
      </w:r>
    </w:p>
    <w:p w14:paraId="562B04B8">
      <w:pPr>
        <w:widowControl w:val="0"/>
        <w:numPr>
          <w:ilvl w:val="255"/>
          <w:numId w:val="0"/>
        </w:numPr>
        <w:spacing w:after="0" w:line="240" w:lineRule="auto"/>
        <w:ind w:left="1080" w:right="58"/>
        <w:jc w:val="both"/>
        <w:rPr>
          <w:rFonts w:ascii="Times New Roman" w:hAnsi="Times New Roman" w:eastAsia="Arial"/>
          <w:spacing w:val="2"/>
          <w:szCs w:val="24"/>
        </w:rPr>
      </w:pPr>
    </w:p>
    <w:p w14:paraId="4B60FD4E">
      <w:pPr>
        <w:spacing w:after="0" w:line="240" w:lineRule="auto"/>
        <w:rPr>
          <w:rFonts w:ascii="Times New Roman" w:hAnsi="Times New Roman"/>
          <w:b/>
          <w:szCs w:val="24"/>
        </w:rPr>
      </w:pPr>
      <w:r>
        <w:rPr>
          <w:rFonts w:ascii="Times New Roman" w:hAnsi="Times New Roman"/>
          <w:b/>
          <w:szCs w:val="24"/>
        </w:rPr>
        <w:t xml:space="preserve">Sexual Exploitation and Abuse (SEA) </w:t>
      </w:r>
    </w:p>
    <w:p w14:paraId="62E279D7">
      <w:pPr>
        <w:spacing w:after="0" w:line="240" w:lineRule="auto"/>
        <w:rPr>
          <w:rFonts w:ascii="Times New Roman" w:hAnsi="Times New Roman"/>
          <w:szCs w:val="24"/>
        </w:rPr>
      </w:pPr>
      <w:r>
        <w:rPr>
          <w:rFonts w:ascii="Times New Roman" w:hAnsi="Times New Roman"/>
          <w:szCs w:val="24"/>
        </w:rPr>
        <w:t>This impact refers to sexual exploitation and abuse committed by Project staff against communities and represents a risk at all stages of the Project, especially when employees and community members are not clear about prohibitions against SEA in the Project.</w:t>
      </w:r>
    </w:p>
    <w:p w14:paraId="25692B83">
      <w:pPr>
        <w:pStyle w:val="32"/>
        <w:numPr>
          <w:ilvl w:val="0"/>
          <w:numId w:val="59"/>
        </w:numPr>
        <w:spacing w:after="0" w:line="240" w:lineRule="auto"/>
        <w:jc w:val="both"/>
        <w:rPr>
          <w:rFonts w:ascii="Times New Roman" w:hAnsi="Times New Roman" w:eastAsia="Arial"/>
          <w:szCs w:val="24"/>
        </w:rPr>
      </w:pPr>
      <w:r>
        <w:rPr>
          <w:rFonts w:ascii="Times New Roman" w:hAnsi="Times New Roman" w:eastAsia="Arial"/>
          <w:szCs w:val="24"/>
        </w:rPr>
        <w:t xml:space="preserve">Develop and implement an SEA action plan with an Accountability and Response Framework as part of the C-ESMP.  The SEA action plan will follow guidance on the World Bank’s Good Practice Note for Addressing Gender-based Violence in Investment Project Financing involving Major Civil Works (Sept 2018). </w:t>
      </w:r>
    </w:p>
    <w:p w14:paraId="4EB70479">
      <w:pPr>
        <w:pStyle w:val="32"/>
        <w:numPr>
          <w:ilvl w:val="0"/>
          <w:numId w:val="59"/>
        </w:numPr>
        <w:spacing w:after="0" w:line="240" w:lineRule="auto"/>
        <w:jc w:val="both"/>
        <w:rPr>
          <w:rFonts w:ascii="Times New Roman" w:hAnsi="Times New Roman" w:eastAsia="Arial"/>
          <w:szCs w:val="24"/>
        </w:rPr>
      </w:pPr>
      <w:r>
        <w:rPr>
          <w:rFonts w:ascii="Times New Roman" w:hAnsi="Times New Roman" w:eastAsia="Arial"/>
          <w:szCs w:val="24"/>
        </w:rPr>
        <w:t>The SEA action plan will include how the project will ensure necessary steps are in place for:</w:t>
      </w:r>
    </w:p>
    <w:p w14:paraId="5E338586">
      <w:pPr>
        <w:pStyle w:val="32"/>
        <w:numPr>
          <w:ilvl w:val="1"/>
          <w:numId w:val="59"/>
        </w:numPr>
        <w:spacing w:after="0" w:line="240" w:lineRule="auto"/>
        <w:ind w:left="1890" w:hanging="450"/>
        <w:jc w:val="both"/>
        <w:rPr>
          <w:rFonts w:ascii="Times New Roman" w:hAnsi="Times New Roman" w:eastAsia="Arial"/>
          <w:szCs w:val="24"/>
        </w:rPr>
      </w:pPr>
      <w:r>
        <w:rPr>
          <w:rFonts w:ascii="Times New Roman" w:hAnsi="Times New Roman" w:eastAsia="Arial"/>
          <w:szCs w:val="24"/>
        </w:rPr>
        <w:t xml:space="preserve">Prevention of SEA: including COCs and ongoing sensitization of staff on responsibilities related to the COC and consequences of non-compliance; project-level IEC materials; </w:t>
      </w:r>
    </w:p>
    <w:p w14:paraId="79965146">
      <w:pPr>
        <w:pStyle w:val="32"/>
        <w:numPr>
          <w:ilvl w:val="1"/>
          <w:numId w:val="59"/>
        </w:numPr>
        <w:spacing w:after="0" w:line="240" w:lineRule="auto"/>
        <w:ind w:left="1890" w:hanging="450"/>
        <w:jc w:val="both"/>
        <w:rPr>
          <w:rFonts w:ascii="Times New Roman" w:hAnsi="Times New Roman" w:eastAsia="Arial"/>
          <w:szCs w:val="24"/>
        </w:rPr>
      </w:pPr>
      <w:r>
        <w:rPr>
          <w:rFonts w:ascii="Times New Roman" w:hAnsi="Times New Roman" w:eastAsia="Arial"/>
          <w:szCs w:val="24"/>
        </w:rPr>
        <w:t>Response to SEA:  including survivor-centred coordinated multi-sectoral referral and assistance to complainants according to standard operating procedures; staff reporting mechanisms; written procedures related to case oversight, investigation and disciplinary procedures at the project level, including confidential data management;</w:t>
      </w:r>
    </w:p>
    <w:p w14:paraId="16B8E457">
      <w:pPr>
        <w:pStyle w:val="32"/>
        <w:numPr>
          <w:ilvl w:val="1"/>
          <w:numId w:val="59"/>
        </w:numPr>
        <w:spacing w:after="0" w:line="240" w:lineRule="auto"/>
        <w:ind w:left="1890" w:hanging="450"/>
        <w:jc w:val="both"/>
        <w:rPr>
          <w:rFonts w:ascii="Times New Roman" w:hAnsi="Times New Roman" w:eastAsia="Arial"/>
          <w:szCs w:val="24"/>
        </w:rPr>
      </w:pPr>
      <w:r>
        <w:rPr>
          <w:rFonts w:ascii="Times New Roman" w:hAnsi="Times New Roman" w:eastAsia="Arial"/>
          <w:szCs w:val="24"/>
        </w:rPr>
        <w:t>Engagement with the community: including development of confidential community-based complaints mechanisms discrete from the standard GRM; mainstreaming of PSEA awareness-raising in all community engagement activities; community-level IEC materials; regular community outreach to women and girls about social risks and their PSEA-related rights;</w:t>
      </w:r>
    </w:p>
    <w:p w14:paraId="4E1CA576">
      <w:pPr>
        <w:pStyle w:val="32"/>
        <w:numPr>
          <w:ilvl w:val="1"/>
          <w:numId w:val="59"/>
        </w:numPr>
        <w:spacing w:after="0" w:line="240" w:lineRule="auto"/>
        <w:ind w:left="1890" w:hanging="450"/>
        <w:jc w:val="both"/>
        <w:rPr>
          <w:rFonts w:ascii="Times New Roman" w:hAnsi="Times New Roman" w:eastAsia="Arial"/>
          <w:szCs w:val="24"/>
        </w:rPr>
      </w:pPr>
      <w:r>
        <w:rPr>
          <w:rFonts w:ascii="Times New Roman" w:hAnsi="Times New Roman" w:eastAsia="Arial"/>
          <w:szCs w:val="24"/>
        </w:rPr>
        <w:t>Management and Coordination: including integration of SEA in job descriptions, employments contracts, performance appraisal systems, etc.; development of contract policies related to SEA, including whistle-blower protection and investigation and disciplinary procedures; training for all project management; management of coordination mechanism for case oversight, investigations and disciplinary procedures; supervision of dedicated PSEA focal points in the project and trained community liaison officers.</w:t>
      </w:r>
      <w:r>
        <w:rPr>
          <w:rFonts w:ascii="Times New Roman" w:hAnsi="Times New Roman" w:eastAsia="Arial"/>
          <w:b/>
          <w:spacing w:val="2"/>
          <w:szCs w:val="24"/>
        </w:rPr>
        <w:t xml:space="preserve"> </w:t>
      </w:r>
    </w:p>
    <w:p w14:paraId="3C048120">
      <w:pPr>
        <w:spacing w:after="0" w:line="240" w:lineRule="auto"/>
        <w:rPr>
          <w:rFonts w:ascii="Times New Roman" w:hAnsi="Times New Roman"/>
          <w:b/>
          <w:bCs/>
          <w:szCs w:val="24"/>
        </w:rPr>
      </w:pPr>
      <w:bookmarkStart w:id="590" w:name="_Toc514144047"/>
      <w:bookmarkStart w:id="591" w:name="_Toc514235272"/>
      <w:bookmarkStart w:id="592" w:name="_Toc509587722"/>
      <w:bookmarkStart w:id="593" w:name="_Toc428351220"/>
      <w:r>
        <w:rPr>
          <w:rFonts w:ascii="Times New Roman" w:hAnsi="Times New Roman"/>
          <w:b/>
          <w:bCs/>
          <w:szCs w:val="24"/>
        </w:rPr>
        <w:t>7.6</w:t>
      </w:r>
      <w:r>
        <w:rPr>
          <w:rFonts w:ascii="Times New Roman" w:hAnsi="Times New Roman"/>
          <w:b/>
          <w:bCs/>
          <w:szCs w:val="24"/>
        </w:rPr>
        <w:tab/>
      </w:r>
      <w:r>
        <w:rPr>
          <w:rFonts w:ascii="Times New Roman" w:hAnsi="Times New Roman"/>
          <w:b/>
          <w:bCs/>
          <w:szCs w:val="24"/>
        </w:rPr>
        <w:t>Impacts during Operation &amp; Maintenance</w:t>
      </w:r>
      <w:bookmarkEnd w:id="590"/>
      <w:bookmarkEnd w:id="591"/>
      <w:bookmarkEnd w:id="592"/>
      <w:bookmarkEnd w:id="593"/>
    </w:p>
    <w:p w14:paraId="13DA79A0">
      <w:pPr>
        <w:spacing w:after="0" w:line="240" w:lineRule="auto"/>
        <w:rPr>
          <w:rFonts w:ascii="Times New Roman" w:hAnsi="Times New Roman"/>
          <w:szCs w:val="24"/>
        </w:rPr>
      </w:pPr>
      <w:r>
        <w:rPr>
          <w:rFonts w:ascii="Times New Roman" w:hAnsi="Times New Roman"/>
          <w:szCs w:val="24"/>
        </w:rPr>
        <w:t xml:space="preserve">During the operation of the sanitation facilities, the positive impacts greatly outweigh the negative impacts, and with proper maintenance, potential negative impacts can be mitigated. </w:t>
      </w:r>
    </w:p>
    <w:p w14:paraId="3F78B02A">
      <w:pPr>
        <w:spacing w:line="240" w:lineRule="auto"/>
        <w:rPr>
          <w:rFonts w:ascii="Times New Roman" w:hAnsi="Times New Roman"/>
          <w:b/>
          <w:bCs/>
          <w:szCs w:val="24"/>
        </w:rPr>
      </w:pPr>
      <w:r>
        <w:rPr>
          <w:rFonts w:ascii="Times New Roman" w:hAnsi="Times New Roman"/>
          <w:b/>
          <w:bCs/>
          <w:szCs w:val="24"/>
        </w:rPr>
        <w:t>Positive Environmental and Socio-Economic Impacts</w:t>
      </w:r>
    </w:p>
    <w:p w14:paraId="140B0836">
      <w:pPr>
        <w:spacing w:line="240" w:lineRule="auto"/>
        <w:rPr>
          <w:rFonts w:ascii="Times New Roman" w:hAnsi="Times New Roman"/>
          <w:szCs w:val="24"/>
        </w:rPr>
      </w:pPr>
      <w:r>
        <w:rPr>
          <w:rFonts w:ascii="Times New Roman" w:hAnsi="Times New Roman"/>
          <w:szCs w:val="24"/>
        </w:rPr>
        <w:t>The several positive impacts are summarized below:</w:t>
      </w:r>
    </w:p>
    <w:p w14:paraId="0646C800">
      <w:pPr>
        <w:pStyle w:val="32"/>
        <w:numPr>
          <w:ilvl w:val="0"/>
          <w:numId w:val="49"/>
        </w:numPr>
        <w:spacing w:line="240" w:lineRule="auto"/>
        <w:jc w:val="both"/>
        <w:rPr>
          <w:rFonts w:ascii="Times New Roman" w:hAnsi="Times New Roman"/>
          <w:szCs w:val="24"/>
        </w:rPr>
      </w:pPr>
      <w:r>
        <w:rPr>
          <w:rFonts w:ascii="Times New Roman" w:hAnsi="Times New Roman"/>
          <w:szCs w:val="24"/>
        </w:rPr>
        <w:t>Improved overall hygiene of the congested areas hence better overall health and reduction of potential water-borne diseases such as bilharzia and cholera.</w:t>
      </w:r>
    </w:p>
    <w:p w14:paraId="64736D4F">
      <w:pPr>
        <w:pStyle w:val="32"/>
        <w:numPr>
          <w:ilvl w:val="0"/>
          <w:numId w:val="49"/>
        </w:numPr>
        <w:spacing w:line="240" w:lineRule="auto"/>
        <w:jc w:val="both"/>
        <w:rPr>
          <w:rFonts w:ascii="Times New Roman" w:hAnsi="Times New Roman"/>
          <w:szCs w:val="24"/>
        </w:rPr>
      </w:pPr>
      <w:r>
        <w:rPr>
          <w:rFonts w:ascii="Times New Roman" w:hAnsi="Times New Roman"/>
          <w:szCs w:val="24"/>
        </w:rPr>
        <w:t>A reduction in health risks that were associated with inadequate access to sanitation services, as a result of improvements in project roads;</w:t>
      </w:r>
    </w:p>
    <w:p w14:paraId="3B354A37">
      <w:pPr>
        <w:pStyle w:val="32"/>
        <w:numPr>
          <w:ilvl w:val="0"/>
          <w:numId w:val="49"/>
        </w:numPr>
        <w:spacing w:line="240" w:lineRule="auto"/>
        <w:jc w:val="both"/>
        <w:rPr>
          <w:rFonts w:ascii="Times New Roman" w:hAnsi="Times New Roman"/>
          <w:szCs w:val="24"/>
        </w:rPr>
      </w:pPr>
      <w:r>
        <w:rPr>
          <w:rFonts w:ascii="Times New Roman" w:hAnsi="Times New Roman"/>
          <w:szCs w:val="24"/>
        </w:rPr>
        <w:t xml:space="preserve">Economic benefits to the section of the community that shall be selected to run and maintain the project for the rest of the project life hence reduced idleness which in most cases leads to crime and drug abuse. </w:t>
      </w:r>
    </w:p>
    <w:p w14:paraId="066CE3A5">
      <w:pPr>
        <w:spacing w:line="240" w:lineRule="auto"/>
        <w:jc w:val="both"/>
        <w:rPr>
          <w:rFonts w:ascii="Times New Roman" w:hAnsi="Times New Roman"/>
          <w:szCs w:val="24"/>
        </w:rPr>
      </w:pPr>
      <w:r>
        <w:rPr>
          <w:rFonts w:ascii="Times New Roman" w:hAnsi="Times New Roman"/>
          <w:szCs w:val="24"/>
        </w:rPr>
        <w:t>Other potential impacts typically associated with operation and maintenance activities are such as:</w:t>
      </w:r>
    </w:p>
    <w:p w14:paraId="1A65E53E">
      <w:pPr>
        <w:spacing w:after="0" w:line="240" w:lineRule="auto"/>
        <w:rPr>
          <w:rFonts w:ascii="Times New Roman" w:hAnsi="Times New Roman"/>
          <w:b/>
          <w:bCs/>
          <w:szCs w:val="24"/>
        </w:rPr>
      </w:pPr>
      <w:r>
        <w:rPr>
          <w:rFonts w:ascii="Times New Roman" w:hAnsi="Times New Roman"/>
          <w:b/>
          <w:bCs/>
          <w:szCs w:val="24"/>
        </w:rPr>
        <w:t>Generation of Solid Waste</w:t>
      </w:r>
    </w:p>
    <w:p w14:paraId="52184D1F">
      <w:pPr>
        <w:spacing w:after="0" w:line="240" w:lineRule="auto"/>
        <w:rPr>
          <w:rFonts w:ascii="Times New Roman" w:hAnsi="Times New Roman"/>
          <w:szCs w:val="24"/>
        </w:rPr>
      </w:pPr>
      <w:r>
        <w:rPr>
          <w:rFonts w:ascii="Times New Roman" w:hAnsi="Times New Roman"/>
          <w:szCs w:val="24"/>
        </w:rPr>
        <w:t>The establishment of an improved immediate sanitation option for the high population region within the project towns will mostly create benefits but with the provision of such services comes the increase in the generation of solid and liquid waste. When operational, the blocks will generate waste in form of plastics, cartons and wrappings from supplies bought for the maintenance of the ablution block.</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Layout w:type="fixed"/>
        <w:tblCellMar>
          <w:top w:w="0" w:type="dxa"/>
          <w:left w:w="108" w:type="dxa"/>
          <w:bottom w:w="0" w:type="dxa"/>
          <w:right w:w="108" w:type="dxa"/>
        </w:tblCellMar>
      </w:tblPr>
      <w:tblGrid>
        <w:gridCol w:w="8296"/>
      </w:tblGrid>
      <w:tr w14:paraId="6116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095370B0">
            <w:pPr>
              <w:spacing w:line="240" w:lineRule="auto"/>
              <w:jc w:val="both"/>
              <w:rPr>
                <w:rFonts w:ascii="Times New Roman" w:hAnsi="Times New Roman"/>
                <w:szCs w:val="24"/>
              </w:rPr>
            </w:pPr>
            <w:r>
              <w:rPr>
                <w:rFonts w:ascii="Times New Roman" w:hAnsi="Times New Roman"/>
                <w:szCs w:val="24"/>
              </w:rPr>
              <w:t>Mitigation measures:</w:t>
            </w:r>
          </w:p>
        </w:tc>
      </w:tr>
      <w:tr w14:paraId="298D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4034181D">
            <w:pPr>
              <w:pStyle w:val="32"/>
              <w:numPr>
                <w:ilvl w:val="0"/>
                <w:numId w:val="52"/>
              </w:numPr>
              <w:spacing w:line="240" w:lineRule="auto"/>
              <w:jc w:val="both"/>
              <w:rPr>
                <w:rFonts w:ascii="Times New Roman" w:hAnsi="Times New Roman"/>
                <w:szCs w:val="24"/>
              </w:rPr>
            </w:pPr>
            <w:r>
              <w:rPr>
                <w:rFonts w:ascii="Times New Roman" w:hAnsi="Times New Roman"/>
                <w:szCs w:val="24"/>
              </w:rPr>
              <w:t>Provide adequate waste disposal facilities. Ensure collection of all solid waste from generation points, safe transportation to a central point where they are sorted out and safely disposed according to type to protect the environmental resources.</w:t>
            </w:r>
          </w:p>
        </w:tc>
      </w:tr>
    </w:tbl>
    <w:p w14:paraId="42D88865">
      <w:pPr>
        <w:spacing w:line="240" w:lineRule="auto"/>
        <w:rPr>
          <w:rFonts w:ascii="Times New Roman" w:hAnsi="Times New Roman"/>
          <w:b/>
          <w:bCs/>
          <w:szCs w:val="24"/>
        </w:rPr>
      </w:pPr>
    </w:p>
    <w:p w14:paraId="07F55D57">
      <w:pPr>
        <w:spacing w:after="0" w:line="240" w:lineRule="auto"/>
        <w:rPr>
          <w:rFonts w:ascii="Times New Roman" w:hAnsi="Times New Roman"/>
          <w:b/>
          <w:bCs/>
          <w:szCs w:val="24"/>
        </w:rPr>
      </w:pPr>
      <w:r>
        <w:rPr>
          <w:rFonts w:ascii="Times New Roman" w:hAnsi="Times New Roman"/>
          <w:b/>
          <w:bCs/>
          <w:szCs w:val="24"/>
        </w:rPr>
        <w:t>Generation of wastewater</w:t>
      </w:r>
    </w:p>
    <w:p w14:paraId="6B0A937E">
      <w:pPr>
        <w:spacing w:after="0" w:line="240" w:lineRule="auto"/>
        <w:jc w:val="both"/>
        <w:rPr>
          <w:rFonts w:ascii="Times New Roman" w:hAnsi="Times New Roman"/>
          <w:szCs w:val="24"/>
        </w:rPr>
      </w:pPr>
      <w:r>
        <w:rPr>
          <w:rFonts w:ascii="Times New Roman" w:hAnsi="Times New Roman"/>
          <w:szCs w:val="24"/>
        </w:rPr>
        <w:t>During the operation phase of the ablution block at the KIMAWASCO Head Office site, the management of wastewater through the soak pit and septic tank may lead to several negative impacts if not properly managed. One of the primary concerns is the risk of groundwater contamination due to improper functioning or overloading of the septic tank. If the tank reaches its capacity or if solids build up without regular pumping, it can lead to leakage of untreated or partially treated wastewater into the surrounding soil. This can subsequently contaminate the groundwater resources, posing health risks to nearby communities reliant on these water sources for drinking and sanitation.</w:t>
      </w:r>
    </w:p>
    <w:p w14:paraId="0FC92E28">
      <w:pPr>
        <w:pStyle w:val="17"/>
        <w:jc w:val="both"/>
      </w:pPr>
      <w:r>
        <w:t>Additionally, if the soak pit fails to adequately absorb the wastewater, it could result in surface pooling, creating unsanitary conditions. This situation not only increases the risk of waterborne diseases but may also attract pests and create foul odours, affecting the overall quality of life for residents in the vicinity.</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Layout w:type="fixed"/>
        <w:tblCellMar>
          <w:top w:w="0" w:type="dxa"/>
          <w:left w:w="108" w:type="dxa"/>
          <w:bottom w:w="0" w:type="dxa"/>
          <w:right w:w="108" w:type="dxa"/>
        </w:tblCellMar>
      </w:tblPr>
      <w:tblGrid>
        <w:gridCol w:w="8296"/>
      </w:tblGrid>
      <w:tr w14:paraId="73D0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CCC0D9"/>
          </w:tcPr>
          <w:p w14:paraId="33FC5EDE">
            <w:pPr>
              <w:pStyle w:val="17"/>
            </w:pPr>
            <w:r>
              <w:t>Mitigation measures:</w:t>
            </w:r>
          </w:p>
        </w:tc>
      </w:tr>
      <w:tr w14:paraId="506D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15BB39C9">
            <w:pPr>
              <w:numPr>
                <w:ilvl w:val="0"/>
                <w:numId w:val="61"/>
              </w:numPr>
              <w:spacing w:line="240" w:lineRule="auto"/>
              <w:rPr>
                <w:rFonts w:ascii="Times New Roman" w:hAnsi="Times New Roman"/>
                <w:szCs w:val="24"/>
              </w:rPr>
            </w:pPr>
            <w:r>
              <w:rPr>
                <w:rFonts w:ascii="Times New Roman" w:hAnsi="Times New Roman"/>
                <w:szCs w:val="24"/>
              </w:rPr>
              <w:t xml:space="preserve">Implement a routine inspection and maintenance schedule for the septic tank to ensure it is functioning properly and is not overloaded. This includes regular pumping to remove accumulated solids before they reach </w:t>
            </w:r>
            <w:r>
              <w:rPr>
                <w:rFonts w:ascii="Times New Roman" w:hAnsi="Times New Roman"/>
                <w:szCs w:val="24"/>
                <w:lang w:val="en-US"/>
              </w:rPr>
              <w:t>Capacity</w:t>
            </w:r>
          </w:p>
          <w:p w14:paraId="4AA49AFA">
            <w:pPr>
              <w:numPr>
                <w:ilvl w:val="0"/>
                <w:numId w:val="61"/>
              </w:numPr>
              <w:spacing w:line="240" w:lineRule="auto"/>
              <w:rPr>
                <w:rFonts w:ascii="Times New Roman" w:hAnsi="Times New Roman"/>
                <w:szCs w:val="24"/>
              </w:rPr>
            </w:pPr>
            <w:r>
              <w:rPr>
                <w:rFonts w:ascii="Times New Roman" w:hAnsi="Times New Roman"/>
                <w:szCs w:val="24"/>
              </w:rPr>
              <w:t>Monitor the soak pit's performance to assess its ability to absorb wastewater effectively, adjusting or enhancements as necessary</w:t>
            </w:r>
          </w:p>
          <w:p w14:paraId="27DA4330">
            <w:pPr>
              <w:numPr>
                <w:ilvl w:val="0"/>
                <w:numId w:val="61"/>
              </w:numPr>
              <w:spacing w:line="240" w:lineRule="auto"/>
              <w:rPr>
                <w:rFonts w:ascii="Times New Roman" w:hAnsi="Times New Roman"/>
                <w:szCs w:val="24"/>
              </w:rPr>
            </w:pPr>
            <w:r>
              <w:rPr>
                <w:rFonts w:ascii="Times New Roman" w:hAnsi="Times New Roman"/>
                <w:szCs w:val="24"/>
              </w:rPr>
              <w:t>Conduct community outreach programs to educate residents about the importance of not disposing of non-biodegradable items in the ablution facilities, which can clog systems and contribute to overflow and saturation.</w:t>
            </w:r>
          </w:p>
          <w:p w14:paraId="7B503E28">
            <w:pPr>
              <w:numPr>
                <w:ilvl w:val="0"/>
                <w:numId w:val="61"/>
              </w:numPr>
              <w:spacing w:line="240" w:lineRule="auto"/>
              <w:rPr>
                <w:rFonts w:ascii="Times New Roman" w:hAnsi="Times New Roman"/>
                <w:szCs w:val="24"/>
              </w:rPr>
            </w:pPr>
            <w:r>
              <w:rPr>
                <w:rFonts w:ascii="Times New Roman" w:hAnsi="Times New Roman"/>
                <w:szCs w:val="24"/>
              </w:rPr>
              <w:t>Develop a contingency plan to address potential failure scenarios of the septic tank or soak pit. This plan should outline immediate steps to take in the event of leakage, including containment, remediation, and notification of the local community.</w:t>
            </w:r>
          </w:p>
        </w:tc>
      </w:tr>
    </w:tbl>
    <w:p w14:paraId="15E5C253">
      <w:pPr>
        <w:spacing w:after="0" w:line="240" w:lineRule="auto"/>
        <w:rPr>
          <w:rFonts w:ascii="Times New Roman" w:hAnsi="Times New Roman"/>
          <w:b/>
          <w:bCs/>
          <w:szCs w:val="24"/>
        </w:rPr>
      </w:pPr>
      <w:r>
        <w:rPr>
          <w:rFonts w:ascii="Times New Roman" w:hAnsi="Times New Roman"/>
          <w:b/>
          <w:bCs/>
          <w:szCs w:val="24"/>
        </w:rPr>
        <w:t>Operational health and safety hazards</w:t>
      </w:r>
    </w:p>
    <w:p w14:paraId="2A5C9D41">
      <w:pPr>
        <w:spacing w:after="0" w:line="240" w:lineRule="auto"/>
        <w:jc w:val="both"/>
        <w:rPr>
          <w:rFonts w:ascii="Times New Roman" w:hAnsi="Times New Roman"/>
          <w:szCs w:val="24"/>
        </w:rPr>
      </w:pPr>
      <w:r>
        <w:rPr>
          <w:rFonts w:ascii="Times New Roman" w:hAnsi="Times New Roman"/>
          <w:szCs w:val="24"/>
        </w:rPr>
        <w:t>Potential of exposure to safety events during operation activities such as slipping and tripping, exposure to cleaning chemicals, electrical fire hazards etc. Unhygienic practices in the ablution block can lead to potential health hazards and outbreak of diseases such as cholera due to cross contamination among the cleaners and maintenance staff as well as members of the public using the facility.</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Layout w:type="fixed"/>
        <w:tblCellMar>
          <w:top w:w="0" w:type="dxa"/>
          <w:left w:w="108" w:type="dxa"/>
          <w:bottom w:w="0" w:type="dxa"/>
          <w:right w:w="108" w:type="dxa"/>
        </w:tblCellMar>
      </w:tblPr>
      <w:tblGrid>
        <w:gridCol w:w="8296"/>
      </w:tblGrid>
      <w:tr w14:paraId="11AB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3E099BCF">
            <w:pPr>
              <w:spacing w:line="240" w:lineRule="auto"/>
              <w:rPr>
                <w:rFonts w:ascii="Times New Roman" w:hAnsi="Times New Roman"/>
                <w:szCs w:val="24"/>
              </w:rPr>
            </w:pPr>
            <w:r>
              <w:rPr>
                <w:rFonts w:ascii="Times New Roman" w:hAnsi="Times New Roman"/>
                <w:szCs w:val="24"/>
              </w:rPr>
              <w:t>Mitigation measures:</w:t>
            </w:r>
          </w:p>
        </w:tc>
      </w:tr>
      <w:tr w14:paraId="2844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6C5786BA">
            <w:pPr>
              <w:pStyle w:val="32"/>
              <w:numPr>
                <w:ilvl w:val="0"/>
                <w:numId w:val="62"/>
              </w:numPr>
              <w:spacing w:line="240" w:lineRule="auto"/>
              <w:jc w:val="both"/>
              <w:rPr>
                <w:rFonts w:ascii="Times New Roman" w:hAnsi="Times New Roman"/>
                <w:szCs w:val="24"/>
              </w:rPr>
            </w:pPr>
            <w:r>
              <w:rPr>
                <w:rFonts w:ascii="Times New Roman" w:hAnsi="Times New Roman"/>
                <w:szCs w:val="24"/>
              </w:rPr>
              <w:t>Formulate and enforce stand operation and maintenance procedures (SOPs) including for cleaning and provide requisite PPE to the cleaners and operations and maintenance staff</w:t>
            </w:r>
          </w:p>
          <w:p w14:paraId="74D8914B">
            <w:pPr>
              <w:pStyle w:val="32"/>
              <w:numPr>
                <w:ilvl w:val="0"/>
                <w:numId w:val="62"/>
              </w:numPr>
              <w:spacing w:line="240" w:lineRule="auto"/>
              <w:jc w:val="both"/>
              <w:rPr>
                <w:rFonts w:ascii="Times New Roman" w:hAnsi="Times New Roman"/>
                <w:szCs w:val="24"/>
              </w:rPr>
            </w:pPr>
            <w:r>
              <w:rPr>
                <w:rFonts w:ascii="Times New Roman" w:hAnsi="Times New Roman"/>
                <w:szCs w:val="24"/>
              </w:rPr>
              <w:t>Display hygiene posters to create awareness on good hygiene practices</w:t>
            </w:r>
          </w:p>
          <w:p w14:paraId="334AD0AD">
            <w:pPr>
              <w:pStyle w:val="32"/>
              <w:numPr>
                <w:ilvl w:val="0"/>
                <w:numId w:val="62"/>
              </w:numPr>
              <w:spacing w:line="240" w:lineRule="auto"/>
              <w:jc w:val="both"/>
              <w:rPr>
                <w:rFonts w:ascii="Times New Roman" w:hAnsi="Times New Roman"/>
                <w:szCs w:val="24"/>
              </w:rPr>
            </w:pPr>
            <w:r>
              <w:rPr>
                <w:rFonts w:ascii="Times New Roman" w:hAnsi="Times New Roman"/>
                <w:szCs w:val="24"/>
              </w:rPr>
              <w:t>Ensure all works and  storage  areas  are  tidy,  all  material  deliveries  shall be planned to minimize accumulated materials.</w:t>
            </w:r>
          </w:p>
          <w:p w14:paraId="58343C03">
            <w:pPr>
              <w:pStyle w:val="32"/>
              <w:numPr>
                <w:ilvl w:val="0"/>
                <w:numId w:val="62"/>
              </w:numPr>
              <w:spacing w:line="240" w:lineRule="auto"/>
              <w:jc w:val="both"/>
              <w:rPr>
                <w:rFonts w:ascii="Times New Roman" w:hAnsi="Times New Roman"/>
                <w:szCs w:val="24"/>
              </w:rPr>
            </w:pPr>
            <w:r>
              <w:rPr>
                <w:rFonts w:ascii="Times New Roman" w:hAnsi="Times New Roman"/>
                <w:szCs w:val="24"/>
              </w:rPr>
              <w:t>Fire extinguishers should be located at identified fire points around the site. The extinguishers shall be appropriate to the nature of the potential fire.</w:t>
            </w:r>
          </w:p>
          <w:p w14:paraId="66EF1DA6">
            <w:pPr>
              <w:pStyle w:val="32"/>
              <w:numPr>
                <w:ilvl w:val="0"/>
                <w:numId w:val="62"/>
              </w:numPr>
              <w:spacing w:line="240" w:lineRule="auto"/>
              <w:jc w:val="both"/>
              <w:rPr>
                <w:rFonts w:ascii="Times New Roman" w:hAnsi="Times New Roman"/>
                <w:szCs w:val="24"/>
              </w:rPr>
            </w:pPr>
            <w:r>
              <w:rPr>
                <w:rFonts w:ascii="Times New Roman" w:hAnsi="Times New Roman"/>
                <w:szCs w:val="24"/>
              </w:rPr>
              <w:t xml:space="preserve">First aid kit with adhesive bandages, antibiotic ointment, antiseptic wipes, non-latex gloves, scissors, thermometer, etc. shall be made available. </w:t>
            </w:r>
          </w:p>
          <w:p w14:paraId="7E514BFB">
            <w:pPr>
              <w:pStyle w:val="32"/>
              <w:numPr>
                <w:ilvl w:val="0"/>
                <w:numId w:val="62"/>
              </w:numPr>
              <w:spacing w:line="240" w:lineRule="auto"/>
              <w:jc w:val="both"/>
              <w:rPr>
                <w:rFonts w:ascii="Times New Roman" w:hAnsi="Times New Roman"/>
                <w:szCs w:val="24"/>
              </w:rPr>
            </w:pPr>
            <w:r>
              <w:rPr>
                <w:rFonts w:ascii="Times New Roman" w:hAnsi="Times New Roman"/>
                <w:szCs w:val="24"/>
              </w:rPr>
              <w:t>Undertake workers training and awareness on the occupation safety and health risks and the SOPs</w:t>
            </w:r>
          </w:p>
          <w:p w14:paraId="0FDCE4DB">
            <w:pPr>
              <w:pStyle w:val="32"/>
              <w:numPr>
                <w:ilvl w:val="0"/>
                <w:numId w:val="62"/>
              </w:numPr>
              <w:spacing w:line="240" w:lineRule="auto"/>
              <w:jc w:val="both"/>
              <w:rPr>
                <w:rFonts w:ascii="Times New Roman" w:hAnsi="Times New Roman"/>
                <w:szCs w:val="24"/>
              </w:rPr>
            </w:pPr>
            <w:r>
              <w:rPr>
                <w:rFonts w:ascii="Times New Roman" w:hAnsi="Times New Roman"/>
                <w:szCs w:val="24"/>
              </w:rPr>
              <w:t>Conduct regular medical surveillance for cleaning and O&amp;M staff in line with the Medical Examination rules</w:t>
            </w:r>
          </w:p>
        </w:tc>
      </w:tr>
    </w:tbl>
    <w:p w14:paraId="62E46B3F">
      <w:pPr>
        <w:spacing w:after="0" w:line="240" w:lineRule="auto"/>
        <w:rPr>
          <w:rFonts w:ascii="Times New Roman" w:hAnsi="Times New Roman"/>
          <w:b/>
          <w:bCs/>
          <w:szCs w:val="24"/>
        </w:rPr>
      </w:pPr>
    </w:p>
    <w:p w14:paraId="6FF34872">
      <w:pPr>
        <w:spacing w:after="0" w:line="240" w:lineRule="auto"/>
        <w:rPr>
          <w:rFonts w:ascii="Times New Roman" w:hAnsi="Times New Roman"/>
          <w:b/>
          <w:bCs/>
          <w:szCs w:val="24"/>
        </w:rPr>
      </w:pPr>
      <w:r>
        <w:rPr>
          <w:rFonts w:ascii="Times New Roman" w:hAnsi="Times New Roman"/>
          <w:b/>
          <w:bCs/>
          <w:szCs w:val="24"/>
        </w:rPr>
        <w:t>Air Quality</w:t>
      </w:r>
    </w:p>
    <w:p w14:paraId="632F2137">
      <w:pPr>
        <w:spacing w:after="0" w:line="240" w:lineRule="auto"/>
        <w:rPr>
          <w:rFonts w:ascii="Times New Roman" w:hAnsi="Times New Roman"/>
          <w:szCs w:val="24"/>
        </w:rPr>
      </w:pPr>
      <w:r>
        <w:rPr>
          <w:rFonts w:ascii="Times New Roman" w:hAnsi="Times New Roman"/>
          <w:szCs w:val="24"/>
        </w:rPr>
        <w:t xml:space="preserve">The establishment of any sanitation facility may lead to bad odour and poor air quality if the facilities are not well maintained according to plan. This can be more profound in the case of the ablution block, which will affect the immediate surroundings as material involved at the facility is faecal matter. </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Layout w:type="fixed"/>
        <w:tblCellMar>
          <w:top w:w="0" w:type="dxa"/>
          <w:left w:w="108" w:type="dxa"/>
          <w:bottom w:w="0" w:type="dxa"/>
          <w:right w:w="108" w:type="dxa"/>
        </w:tblCellMar>
      </w:tblPr>
      <w:tblGrid>
        <w:gridCol w:w="8296"/>
      </w:tblGrid>
      <w:tr w14:paraId="630C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221A3916">
            <w:pPr>
              <w:spacing w:line="240" w:lineRule="auto"/>
              <w:jc w:val="both"/>
              <w:rPr>
                <w:rFonts w:ascii="Times New Roman" w:hAnsi="Times New Roman"/>
                <w:szCs w:val="24"/>
              </w:rPr>
            </w:pPr>
            <w:r>
              <w:rPr>
                <w:rFonts w:ascii="Times New Roman" w:hAnsi="Times New Roman"/>
                <w:szCs w:val="24"/>
              </w:rPr>
              <w:t>Mitigation measures:</w:t>
            </w:r>
          </w:p>
        </w:tc>
      </w:tr>
      <w:tr w14:paraId="0D9E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CCC0D9"/>
          </w:tcPr>
          <w:p w14:paraId="7D7C22D6">
            <w:pPr>
              <w:pStyle w:val="32"/>
              <w:numPr>
                <w:ilvl w:val="0"/>
                <w:numId w:val="52"/>
              </w:numPr>
              <w:spacing w:line="240" w:lineRule="auto"/>
              <w:jc w:val="both"/>
              <w:rPr>
                <w:rFonts w:ascii="Times New Roman" w:hAnsi="Times New Roman"/>
                <w:szCs w:val="24"/>
              </w:rPr>
            </w:pPr>
            <w:r>
              <w:rPr>
                <w:rFonts w:ascii="Times New Roman" w:hAnsi="Times New Roman"/>
                <w:szCs w:val="24"/>
              </w:rPr>
              <w:t>Provide adequate framework for disposal of septic waste from ablution block. The WSP will ensure this by providing reliable exhaustion services. Waste from the ablution block will be transported to the sludge management facility that is a component of the project.</w:t>
            </w:r>
          </w:p>
          <w:p w14:paraId="1E5155D8">
            <w:pPr>
              <w:pStyle w:val="32"/>
              <w:numPr>
                <w:ilvl w:val="0"/>
                <w:numId w:val="52"/>
              </w:numPr>
              <w:spacing w:line="240" w:lineRule="auto"/>
              <w:jc w:val="both"/>
              <w:rPr>
                <w:rFonts w:ascii="Times New Roman" w:hAnsi="Times New Roman"/>
                <w:szCs w:val="24"/>
              </w:rPr>
            </w:pPr>
            <w:r>
              <w:rPr>
                <w:rFonts w:ascii="Times New Roman" w:hAnsi="Times New Roman"/>
                <w:szCs w:val="24"/>
              </w:rPr>
              <w:t xml:space="preserve">Constant monitoring of the behaviour of the facilities to prevent overuse without emptying of septic waste which may render the facility toxic. </w:t>
            </w:r>
          </w:p>
          <w:p w14:paraId="3156FABD">
            <w:pPr>
              <w:pStyle w:val="32"/>
              <w:numPr>
                <w:ilvl w:val="0"/>
                <w:numId w:val="52"/>
              </w:numPr>
              <w:spacing w:line="240" w:lineRule="auto"/>
              <w:jc w:val="both"/>
              <w:rPr>
                <w:rFonts w:ascii="Times New Roman" w:hAnsi="Times New Roman"/>
                <w:szCs w:val="24"/>
              </w:rPr>
            </w:pPr>
            <w:r>
              <w:rPr>
                <w:rFonts w:ascii="Times New Roman" w:hAnsi="Times New Roman"/>
                <w:szCs w:val="24"/>
              </w:rPr>
              <w:t xml:space="preserve">Ensure reliable water supply to the ablution block and regular cleaning </w:t>
            </w:r>
          </w:p>
          <w:p w14:paraId="70DDF222">
            <w:pPr>
              <w:pStyle w:val="32"/>
              <w:numPr>
                <w:ilvl w:val="0"/>
                <w:numId w:val="52"/>
              </w:numPr>
              <w:spacing w:line="240" w:lineRule="auto"/>
              <w:jc w:val="both"/>
              <w:rPr>
                <w:rFonts w:ascii="Times New Roman" w:hAnsi="Times New Roman"/>
                <w:szCs w:val="24"/>
              </w:rPr>
            </w:pPr>
            <w:r>
              <w:rPr>
                <w:rFonts w:ascii="Times New Roman" w:hAnsi="Times New Roman"/>
                <w:szCs w:val="24"/>
              </w:rPr>
              <w:t>Odours generated by the facility can be controlled by use of suppressants.</w:t>
            </w:r>
          </w:p>
        </w:tc>
      </w:tr>
    </w:tbl>
    <w:p w14:paraId="27239F7E">
      <w:pPr>
        <w:spacing w:after="0" w:line="240" w:lineRule="auto"/>
        <w:rPr>
          <w:rFonts w:ascii="Times New Roman" w:hAnsi="Times New Roman"/>
          <w:b/>
          <w:bCs/>
          <w:szCs w:val="24"/>
        </w:rPr>
      </w:pPr>
    </w:p>
    <w:p w14:paraId="1CAA6284">
      <w:pPr>
        <w:spacing w:after="0" w:line="240" w:lineRule="auto"/>
        <w:rPr>
          <w:rFonts w:ascii="Times New Roman" w:hAnsi="Times New Roman"/>
          <w:b/>
          <w:bCs/>
          <w:szCs w:val="24"/>
        </w:rPr>
      </w:pPr>
      <w:r>
        <w:rPr>
          <w:rFonts w:ascii="Times New Roman" w:hAnsi="Times New Roman"/>
          <w:b/>
          <w:bCs/>
          <w:szCs w:val="24"/>
        </w:rPr>
        <w:t>Noise Pollution</w:t>
      </w:r>
    </w:p>
    <w:p w14:paraId="4F922F34">
      <w:pPr>
        <w:spacing w:after="0" w:line="240" w:lineRule="auto"/>
        <w:rPr>
          <w:rFonts w:ascii="Times New Roman" w:hAnsi="Times New Roman"/>
          <w:szCs w:val="24"/>
        </w:rPr>
      </w:pPr>
      <w:r>
        <w:rPr>
          <w:rFonts w:ascii="Times New Roman" w:hAnsi="Times New Roman"/>
          <w:szCs w:val="24"/>
        </w:rPr>
        <w:t>Noise Pollution may occur due to the various hauling trucks that will be used to transport the solid waste and wastewater.</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Layout w:type="fixed"/>
        <w:tblCellMar>
          <w:top w:w="0" w:type="dxa"/>
          <w:left w:w="108" w:type="dxa"/>
          <w:bottom w:w="0" w:type="dxa"/>
          <w:right w:w="108" w:type="dxa"/>
        </w:tblCellMar>
      </w:tblPr>
      <w:tblGrid>
        <w:gridCol w:w="8296"/>
      </w:tblGrid>
      <w:tr w14:paraId="7B09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3629C225">
            <w:pPr>
              <w:spacing w:after="120" w:line="240" w:lineRule="auto"/>
              <w:jc w:val="both"/>
              <w:rPr>
                <w:rFonts w:ascii="Times New Roman" w:hAnsi="Times New Roman"/>
                <w:b/>
                <w:szCs w:val="24"/>
              </w:rPr>
            </w:pPr>
            <w:r>
              <w:rPr>
                <w:rFonts w:ascii="Times New Roman" w:hAnsi="Times New Roman"/>
                <w:b/>
                <w:szCs w:val="24"/>
              </w:rPr>
              <w:t>Mitigation measures:</w:t>
            </w:r>
          </w:p>
        </w:tc>
      </w:tr>
      <w:tr w14:paraId="1784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44FB5C80">
            <w:pPr>
              <w:numPr>
                <w:ilvl w:val="0"/>
                <w:numId w:val="63"/>
              </w:numPr>
              <w:spacing w:after="120" w:line="240" w:lineRule="auto"/>
              <w:jc w:val="both"/>
              <w:rPr>
                <w:rFonts w:ascii="Times New Roman" w:hAnsi="Times New Roman"/>
                <w:szCs w:val="24"/>
              </w:rPr>
            </w:pPr>
            <w:r>
              <w:rPr>
                <w:rFonts w:ascii="Times New Roman" w:hAnsi="Times New Roman"/>
                <w:szCs w:val="24"/>
              </w:rPr>
              <w:t>All transportation vehicles should be kept in good working order, serviced regularly in accordance to the manufacturer’s specifications.</w:t>
            </w:r>
          </w:p>
          <w:p w14:paraId="7A18766F">
            <w:pPr>
              <w:numPr>
                <w:ilvl w:val="0"/>
                <w:numId w:val="63"/>
              </w:numPr>
              <w:spacing w:after="120" w:line="240" w:lineRule="auto"/>
              <w:jc w:val="both"/>
              <w:rPr>
                <w:rFonts w:ascii="Times New Roman" w:hAnsi="Times New Roman"/>
                <w:szCs w:val="24"/>
              </w:rPr>
            </w:pPr>
            <w:r>
              <w:rPr>
                <w:rFonts w:ascii="Times New Roman" w:hAnsi="Times New Roman"/>
                <w:szCs w:val="24"/>
              </w:rPr>
              <w:t>All transportation vehicles should be licensed by NTSA and meet other standard traffic regulation requirements</w:t>
            </w:r>
          </w:p>
        </w:tc>
      </w:tr>
    </w:tbl>
    <w:p w14:paraId="5088B545">
      <w:pPr>
        <w:spacing w:after="0" w:line="240" w:lineRule="auto"/>
        <w:jc w:val="both"/>
        <w:rPr>
          <w:rFonts w:ascii="Times New Roman" w:hAnsi="Times New Roman"/>
          <w:b/>
          <w:bCs/>
          <w:szCs w:val="24"/>
        </w:rPr>
      </w:pPr>
    </w:p>
    <w:p w14:paraId="279EFEB8">
      <w:pPr>
        <w:spacing w:after="0" w:line="240" w:lineRule="auto"/>
        <w:jc w:val="both"/>
        <w:rPr>
          <w:rFonts w:ascii="Times New Roman" w:hAnsi="Times New Roman"/>
          <w:b/>
          <w:bCs/>
          <w:szCs w:val="24"/>
        </w:rPr>
      </w:pPr>
      <w:r>
        <w:rPr>
          <w:rFonts w:ascii="Times New Roman" w:hAnsi="Times New Roman"/>
          <w:b/>
          <w:bCs/>
          <w:szCs w:val="24"/>
        </w:rPr>
        <w:t>Mosquito breeding and disease transmission</w:t>
      </w:r>
    </w:p>
    <w:p w14:paraId="199EACD7">
      <w:pPr>
        <w:spacing w:after="0" w:line="240" w:lineRule="auto"/>
        <w:jc w:val="both"/>
        <w:rPr>
          <w:rFonts w:ascii="Times New Roman" w:hAnsi="Times New Roman"/>
          <w:i/>
          <w:szCs w:val="24"/>
          <w:u w:val="single"/>
        </w:rPr>
      </w:pPr>
      <w:r>
        <w:rPr>
          <w:rFonts w:ascii="Times New Roman" w:hAnsi="Times New Roman"/>
          <w:szCs w:val="24"/>
        </w:rPr>
        <w:t xml:space="preserve">Mosquito larvae </w:t>
      </w:r>
      <w:r>
        <w:rPr>
          <w:rFonts w:ascii="Times New Roman" w:hAnsi="Times New Roman"/>
          <w:bCs/>
          <w:szCs w:val="24"/>
        </w:rPr>
        <w:t>generally live in small, shallow water bodies where disturbance of the surface layer is uncommon.  Waste accumulating in the septic tank can provide opportunity for the breeding of vectors. This can also occur due to spillage that may accumulate near the ablution block site during exhaustion of the septic tanks.</w:t>
      </w:r>
    </w:p>
    <w:p w14:paraId="77597F55">
      <w:pPr>
        <w:spacing w:line="240" w:lineRule="auto"/>
        <w:jc w:val="both"/>
        <w:rPr>
          <w:rFonts w:ascii="Times New Roman" w:hAnsi="Times New Roman"/>
          <w:bCs/>
          <w:szCs w:val="24"/>
        </w:rPr>
      </w:pPr>
      <w:r>
        <w:rPr>
          <w:rFonts w:ascii="Times New Roman" w:hAnsi="Times New Roman"/>
          <w:bCs/>
          <w:szCs w:val="24"/>
        </w:rPr>
        <w:t xml:space="preserve">Steps should however be taken to ensure that any potential of vectors breeding in the facility is eliminated. </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Layout w:type="fixed"/>
        <w:tblCellMar>
          <w:top w:w="0" w:type="dxa"/>
          <w:left w:w="108" w:type="dxa"/>
          <w:bottom w:w="0" w:type="dxa"/>
          <w:right w:w="108" w:type="dxa"/>
        </w:tblCellMar>
      </w:tblPr>
      <w:tblGrid>
        <w:gridCol w:w="8296"/>
      </w:tblGrid>
      <w:tr w14:paraId="4ADC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3F76C7CE">
            <w:pPr>
              <w:spacing w:line="240" w:lineRule="auto"/>
              <w:rPr>
                <w:rFonts w:ascii="Times New Roman" w:hAnsi="Times New Roman"/>
                <w:b/>
                <w:szCs w:val="24"/>
              </w:rPr>
            </w:pPr>
            <w:r>
              <w:rPr>
                <w:rFonts w:ascii="Times New Roman" w:hAnsi="Times New Roman"/>
                <w:b/>
                <w:szCs w:val="24"/>
              </w:rPr>
              <w:t>Mitigation measures:</w:t>
            </w:r>
          </w:p>
        </w:tc>
      </w:tr>
      <w:tr w14:paraId="7375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7529D9A8">
            <w:pPr>
              <w:numPr>
                <w:ilvl w:val="0"/>
                <w:numId w:val="63"/>
              </w:numPr>
              <w:spacing w:line="240" w:lineRule="auto"/>
              <w:jc w:val="both"/>
              <w:rPr>
                <w:rFonts w:ascii="Times New Roman" w:hAnsi="Times New Roman"/>
                <w:szCs w:val="24"/>
              </w:rPr>
            </w:pPr>
            <w:r>
              <w:rPr>
                <w:rFonts w:ascii="Times New Roman" w:hAnsi="Times New Roman"/>
                <w:szCs w:val="24"/>
              </w:rPr>
              <w:t>Eliminate spillage and all unnecessary standing water.</w:t>
            </w:r>
          </w:p>
          <w:p w14:paraId="618FEC34">
            <w:pPr>
              <w:numPr>
                <w:ilvl w:val="0"/>
                <w:numId w:val="63"/>
              </w:numPr>
              <w:spacing w:line="240" w:lineRule="auto"/>
              <w:jc w:val="both"/>
              <w:rPr>
                <w:rFonts w:ascii="Times New Roman" w:hAnsi="Times New Roman"/>
                <w:szCs w:val="24"/>
              </w:rPr>
            </w:pPr>
            <w:r>
              <w:rPr>
                <w:rFonts w:ascii="Times New Roman" w:hAnsi="Times New Roman"/>
                <w:szCs w:val="24"/>
              </w:rPr>
              <w:t xml:space="preserve">Ensure that the covers to the septic tank manholes are maintained properly always closed. </w:t>
            </w:r>
          </w:p>
          <w:p w14:paraId="69656F90">
            <w:pPr>
              <w:numPr>
                <w:ilvl w:val="0"/>
                <w:numId w:val="63"/>
              </w:numPr>
              <w:spacing w:line="240" w:lineRule="auto"/>
              <w:jc w:val="both"/>
              <w:rPr>
                <w:rFonts w:ascii="Times New Roman" w:hAnsi="Times New Roman"/>
                <w:szCs w:val="24"/>
              </w:rPr>
            </w:pPr>
            <w:r>
              <w:rPr>
                <w:rFonts w:ascii="Times New Roman" w:hAnsi="Times New Roman"/>
                <w:szCs w:val="24"/>
              </w:rPr>
              <w:t>The septic tank should be emptied regularly to avoid it filling up and overflowing</w:t>
            </w:r>
          </w:p>
        </w:tc>
      </w:tr>
    </w:tbl>
    <w:p w14:paraId="0BD2750E">
      <w:pPr>
        <w:spacing w:line="240" w:lineRule="auto"/>
        <w:rPr>
          <w:rFonts w:ascii="Times New Roman" w:hAnsi="Times New Roman"/>
          <w:szCs w:val="24"/>
        </w:rPr>
      </w:pPr>
    </w:p>
    <w:p w14:paraId="23E13F7A">
      <w:pPr>
        <w:spacing w:after="0" w:line="240" w:lineRule="auto"/>
        <w:rPr>
          <w:rFonts w:ascii="Times New Roman" w:hAnsi="Times New Roman"/>
          <w:b/>
          <w:bCs/>
          <w:szCs w:val="24"/>
        </w:rPr>
      </w:pPr>
      <w:r>
        <w:rPr>
          <w:rFonts w:ascii="Times New Roman" w:hAnsi="Times New Roman"/>
          <w:b/>
          <w:bCs/>
          <w:szCs w:val="24"/>
        </w:rPr>
        <w:t>Infiltration into soils, ground water and water supply</w:t>
      </w:r>
    </w:p>
    <w:p w14:paraId="134CF74D">
      <w:pPr>
        <w:spacing w:after="0" w:line="240" w:lineRule="auto"/>
        <w:jc w:val="both"/>
        <w:rPr>
          <w:rFonts w:ascii="Times New Roman" w:hAnsi="Times New Roman" w:eastAsia="Times New Roman"/>
          <w:szCs w:val="24"/>
        </w:rPr>
      </w:pPr>
      <w:r>
        <w:rPr>
          <w:rFonts w:ascii="Times New Roman" w:hAnsi="Times New Roman"/>
          <w:szCs w:val="24"/>
        </w:rPr>
        <w:t>Pollution of ground water may occur due</w:t>
      </w:r>
      <w:r>
        <w:rPr>
          <w:rFonts w:ascii="Times New Roman" w:hAnsi="Times New Roman" w:eastAsia="Times New Roman"/>
          <w:szCs w:val="24"/>
        </w:rPr>
        <w:t xml:space="preserve"> to wastewater infiltrating through the soil through the Septic tanks. Steps should be taken to ensure there is minimal infiltration during the early stages of the treatment. </w:t>
      </w:r>
    </w:p>
    <w:p w14:paraId="0AB7FF7F">
      <w:pPr>
        <w:spacing w:line="240" w:lineRule="auto"/>
        <w:jc w:val="both"/>
        <w:rPr>
          <w:rFonts w:ascii="Times New Roman" w:hAnsi="Times New Roman"/>
          <w:szCs w:val="24"/>
        </w:rPr>
      </w:pPr>
      <w:r>
        <w:rPr>
          <w:rFonts w:ascii="Times New Roman" w:hAnsi="Times New Roman" w:eastAsia="Times New Roman"/>
          <w:szCs w:val="24"/>
        </w:rPr>
        <w:t xml:space="preserve">This may occur when waste spilled during exhaustion is swept by rainwater from the ablution block site into water courses.  However, </w:t>
      </w:r>
      <w:r>
        <w:rPr>
          <w:rFonts w:ascii="Times New Roman" w:hAnsi="Times New Roman"/>
          <w:szCs w:val="24"/>
        </w:rPr>
        <w:t>no sources of water, shallow wells or otherwise were identified near the ablution block sites. The impacts on water sources are therefore expected to be minimal.</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Layout w:type="fixed"/>
        <w:tblCellMar>
          <w:top w:w="0" w:type="dxa"/>
          <w:left w:w="108" w:type="dxa"/>
          <w:bottom w:w="0" w:type="dxa"/>
          <w:right w:w="108" w:type="dxa"/>
        </w:tblCellMar>
      </w:tblPr>
      <w:tblGrid>
        <w:gridCol w:w="8296"/>
      </w:tblGrid>
      <w:tr w14:paraId="2D5B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296" w:type="dxa"/>
            <w:shd w:val="clear" w:color="auto" w:fill="CCC0D9"/>
          </w:tcPr>
          <w:p w14:paraId="4FD1594B">
            <w:pPr>
              <w:spacing w:after="0" w:line="240" w:lineRule="auto"/>
              <w:rPr>
                <w:rFonts w:ascii="Times New Roman" w:hAnsi="Times New Roman" w:eastAsia="Times New Roman"/>
                <w:b/>
                <w:szCs w:val="24"/>
              </w:rPr>
            </w:pPr>
            <w:r>
              <w:rPr>
                <w:rFonts w:ascii="Times New Roman" w:hAnsi="Times New Roman" w:eastAsia="Times New Roman"/>
                <w:b/>
                <w:szCs w:val="24"/>
              </w:rPr>
              <w:t>Mitigation measures:</w:t>
            </w:r>
          </w:p>
        </w:tc>
      </w:tr>
      <w:tr w14:paraId="0AD7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CCC0D9"/>
          </w:tcPr>
          <w:p w14:paraId="26AD60E8">
            <w:pPr>
              <w:numPr>
                <w:ilvl w:val="0"/>
                <w:numId w:val="63"/>
              </w:numPr>
              <w:spacing w:before="240" w:after="0" w:line="240" w:lineRule="auto"/>
              <w:rPr>
                <w:rFonts w:ascii="Times New Roman" w:hAnsi="Times New Roman" w:eastAsia="Times New Roman"/>
                <w:szCs w:val="24"/>
              </w:rPr>
            </w:pPr>
            <w:r>
              <w:rPr>
                <w:rFonts w:ascii="Times New Roman" w:hAnsi="Times New Roman" w:eastAsia="Times New Roman"/>
                <w:szCs w:val="24"/>
              </w:rPr>
              <w:t xml:space="preserve">Ensure that the Septic Tanks are properly constructed to avoid cracks that may allow wastewater to seep out. </w:t>
            </w:r>
          </w:p>
          <w:p w14:paraId="646B7E45">
            <w:pPr>
              <w:numPr>
                <w:ilvl w:val="0"/>
                <w:numId w:val="63"/>
              </w:numPr>
              <w:spacing w:after="0" w:line="240" w:lineRule="auto"/>
              <w:contextualSpacing/>
              <w:rPr>
                <w:rFonts w:ascii="Times New Roman" w:hAnsi="Times New Roman" w:eastAsia="Times New Roman"/>
                <w:szCs w:val="24"/>
              </w:rPr>
            </w:pPr>
            <w:r>
              <w:rPr>
                <w:rFonts w:ascii="Times New Roman" w:hAnsi="Times New Roman" w:eastAsia="Times New Roman"/>
                <w:szCs w:val="24"/>
              </w:rPr>
              <w:t xml:space="preserve">Ensure that the covers to the septic tank manholes are maintained properly always closed so as to avoid spillage. </w:t>
            </w:r>
          </w:p>
        </w:tc>
      </w:tr>
    </w:tbl>
    <w:p w14:paraId="1B0549FF">
      <w:pPr>
        <w:spacing w:after="0" w:line="240" w:lineRule="auto"/>
        <w:jc w:val="both"/>
        <w:rPr>
          <w:rFonts w:ascii="Times New Roman" w:hAnsi="Times New Roman"/>
          <w:b/>
          <w:bCs/>
          <w:szCs w:val="24"/>
        </w:rPr>
      </w:pPr>
    </w:p>
    <w:p w14:paraId="34F48A9D">
      <w:pPr>
        <w:spacing w:after="0" w:line="240" w:lineRule="auto"/>
        <w:jc w:val="both"/>
        <w:rPr>
          <w:rFonts w:ascii="Times New Roman" w:hAnsi="Times New Roman"/>
          <w:b/>
          <w:bCs/>
          <w:szCs w:val="24"/>
        </w:rPr>
      </w:pPr>
      <w:r>
        <w:rPr>
          <w:rFonts w:ascii="Times New Roman" w:hAnsi="Times New Roman"/>
          <w:b/>
          <w:bCs/>
          <w:szCs w:val="24"/>
        </w:rPr>
        <w:t>Cumulative impacts during Operation and maintenance</w:t>
      </w:r>
    </w:p>
    <w:p w14:paraId="24766DBF">
      <w:pPr>
        <w:spacing w:after="0" w:line="240" w:lineRule="auto"/>
        <w:jc w:val="both"/>
        <w:rPr>
          <w:rFonts w:ascii="Times New Roman" w:hAnsi="Times New Roman"/>
          <w:szCs w:val="24"/>
        </w:rPr>
      </w:pPr>
      <w:r>
        <w:rPr>
          <w:rFonts w:ascii="Times New Roman" w:hAnsi="Times New Roman"/>
          <w:szCs w:val="24"/>
        </w:rPr>
        <w:t>Cumulative impacts are those that result from the successive, incremental, and/or combined effects of an action, project, or activity when added to other existing, planned, and/or reasonably anticipated future ones. The assessment of cumulative impacts considers the environmental and socio-economic cumulative effects of the Project in combination with other existing, planned and reasonably predictable future projects and development activities in that region.</w:t>
      </w:r>
    </w:p>
    <w:p w14:paraId="6E5D0184">
      <w:pPr>
        <w:spacing w:after="0" w:line="240" w:lineRule="auto"/>
        <w:jc w:val="both"/>
        <w:rPr>
          <w:rFonts w:ascii="Times New Roman" w:hAnsi="Times New Roman"/>
          <w:b/>
          <w:bCs/>
          <w:szCs w:val="24"/>
        </w:rPr>
      </w:pPr>
    </w:p>
    <w:p w14:paraId="01100996">
      <w:pPr>
        <w:spacing w:after="0" w:line="240" w:lineRule="auto"/>
        <w:rPr>
          <w:rFonts w:ascii="Times New Roman" w:hAnsi="Times New Roman"/>
          <w:b/>
          <w:bCs/>
          <w:szCs w:val="24"/>
        </w:rPr>
      </w:pPr>
      <w:r>
        <w:rPr>
          <w:rFonts w:ascii="Times New Roman" w:hAnsi="Times New Roman"/>
          <w:b/>
          <w:bCs/>
          <w:szCs w:val="24"/>
        </w:rPr>
        <w:t>Cumulative impacts associated with Soil Contamination</w:t>
      </w:r>
    </w:p>
    <w:p w14:paraId="5F4C70DE">
      <w:pPr>
        <w:spacing w:after="0" w:line="240" w:lineRule="auto"/>
        <w:rPr>
          <w:rFonts w:ascii="Times New Roman" w:hAnsi="Times New Roman"/>
          <w:szCs w:val="24"/>
        </w:rPr>
      </w:pPr>
      <w:r>
        <w:rPr>
          <w:rFonts w:ascii="Times New Roman" w:hAnsi="Times New Roman"/>
          <w:szCs w:val="24"/>
        </w:rPr>
        <w:t>Sludge spills or leachate infiltration could degrade soil quality, affecting nearby ecosystems and future land use.</w:t>
      </w:r>
    </w:p>
    <w:p w14:paraId="1292E964">
      <w:pPr>
        <w:spacing w:line="240" w:lineRule="auto"/>
        <w:jc w:val="both"/>
        <w:rPr>
          <w:rFonts w:ascii="Times New Roman" w:hAnsi="Times New Roman"/>
          <w:szCs w:val="24"/>
        </w:rPr>
      </w:pP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Layout w:type="fixed"/>
        <w:tblCellMar>
          <w:top w:w="0" w:type="dxa"/>
          <w:left w:w="108" w:type="dxa"/>
          <w:bottom w:w="0" w:type="dxa"/>
          <w:right w:w="108" w:type="dxa"/>
        </w:tblCellMar>
      </w:tblPr>
      <w:tblGrid>
        <w:gridCol w:w="8296"/>
      </w:tblGrid>
      <w:tr w14:paraId="7444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296" w:type="dxa"/>
            <w:shd w:val="clear" w:color="auto" w:fill="CCC0D9"/>
          </w:tcPr>
          <w:p w14:paraId="2910601F">
            <w:pPr>
              <w:spacing w:after="0" w:line="240" w:lineRule="auto"/>
              <w:rPr>
                <w:rFonts w:ascii="Times New Roman" w:hAnsi="Times New Roman" w:eastAsia="Times New Roman"/>
                <w:b/>
                <w:szCs w:val="24"/>
              </w:rPr>
            </w:pPr>
            <w:r>
              <w:rPr>
                <w:rFonts w:ascii="Times New Roman" w:hAnsi="Times New Roman" w:eastAsia="Times New Roman"/>
                <w:b/>
                <w:szCs w:val="24"/>
              </w:rPr>
              <w:t>Mitigation measures:</w:t>
            </w:r>
          </w:p>
        </w:tc>
      </w:tr>
      <w:tr w14:paraId="061A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CellMar>
            <w:top w:w="0" w:type="dxa"/>
            <w:left w:w="108" w:type="dxa"/>
            <w:bottom w:w="0" w:type="dxa"/>
            <w:right w:w="108" w:type="dxa"/>
          </w:tblCellMar>
        </w:tblPrEx>
        <w:tc>
          <w:tcPr>
            <w:tcW w:w="8296" w:type="dxa"/>
            <w:shd w:val="clear" w:color="auto" w:fill="CCC0D9"/>
          </w:tcPr>
          <w:p w14:paraId="797DAE1A">
            <w:pPr>
              <w:pStyle w:val="32"/>
              <w:numPr>
                <w:ilvl w:val="0"/>
                <w:numId w:val="64"/>
              </w:numPr>
              <w:spacing w:before="240" w:after="0" w:line="240" w:lineRule="auto"/>
              <w:jc w:val="both"/>
              <w:rPr>
                <w:rFonts w:ascii="Times New Roman" w:hAnsi="Times New Roman" w:eastAsia="Times New Roman"/>
                <w:szCs w:val="24"/>
              </w:rPr>
            </w:pPr>
            <w:r>
              <w:rPr>
                <w:rFonts w:ascii="Times New Roman" w:hAnsi="Times New Roman" w:eastAsia="Times New Roman"/>
                <w:szCs w:val="24"/>
              </w:rPr>
              <w:t>Develop a sludge management plan outlining safe handling, transportation, and disposal procedures.</w:t>
            </w:r>
          </w:p>
          <w:p w14:paraId="658D223D">
            <w:pPr>
              <w:pStyle w:val="32"/>
              <w:numPr>
                <w:ilvl w:val="0"/>
                <w:numId w:val="64"/>
              </w:numPr>
              <w:spacing w:before="240" w:after="0" w:line="240" w:lineRule="auto"/>
              <w:jc w:val="both"/>
              <w:rPr>
                <w:rFonts w:ascii="Times New Roman" w:hAnsi="Times New Roman" w:eastAsia="Times New Roman"/>
                <w:szCs w:val="24"/>
              </w:rPr>
            </w:pPr>
            <w:r>
              <w:rPr>
                <w:rFonts w:ascii="Times New Roman" w:hAnsi="Times New Roman" w:eastAsia="Times New Roman"/>
                <w:szCs w:val="24"/>
              </w:rPr>
              <w:t>Conduct quarterly soil testing for heavy metals, nutrients, and pathogens.</w:t>
            </w:r>
          </w:p>
          <w:p w14:paraId="726775AB">
            <w:pPr>
              <w:pStyle w:val="32"/>
              <w:spacing w:line="240" w:lineRule="auto"/>
              <w:rPr>
                <w:rFonts w:ascii="Times New Roman" w:hAnsi="Times New Roman"/>
                <w:szCs w:val="24"/>
              </w:rPr>
            </w:pPr>
            <w:r>
              <w:rPr>
                <w:rFonts w:ascii="Times New Roman" w:hAnsi="Times New Roman" w:eastAsia="Times New Roman"/>
                <w:szCs w:val="24"/>
              </w:rPr>
              <w:t>Partner with licensed waste handlers to ensure proper final disposal of hazardous materials.</w:t>
            </w:r>
          </w:p>
        </w:tc>
      </w:tr>
    </w:tbl>
    <w:p w14:paraId="31DC71BA">
      <w:pPr>
        <w:spacing w:line="240" w:lineRule="auto"/>
        <w:rPr>
          <w:rFonts w:ascii="Times New Roman" w:hAnsi="Times New Roman"/>
          <w:b/>
          <w:bCs/>
          <w:szCs w:val="24"/>
        </w:rPr>
      </w:pPr>
      <w:bookmarkStart w:id="594" w:name="_Toc514235273"/>
      <w:bookmarkStart w:id="595" w:name="_Toc514144048"/>
    </w:p>
    <w:p w14:paraId="7103C3A2">
      <w:pPr>
        <w:spacing w:after="0" w:line="240" w:lineRule="auto"/>
        <w:rPr>
          <w:rFonts w:ascii="Times New Roman" w:hAnsi="Times New Roman"/>
          <w:b/>
          <w:bCs/>
          <w:szCs w:val="24"/>
        </w:rPr>
      </w:pPr>
      <w:r>
        <w:rPr>
          <w:rFonts w:ascii="Times New Roman" w:hAnsi="Times New Roman"/>
          <w:b/>
          <w:bCs/>
          <w:szCs w:val="24"/>
        </w:rPr>
        <w:t xml:space="preserve">Cumulative impacts associated with water contamination </w:t>
      </w:r>
    </w:p>
    <w:p w14:paraId="3875209A">
      <w:pPr>
        <w:spacing w:after="0" w:line="240" w:lineRule="auto"/>
        <w:jc w:val="both"/>
        <w:rPr>
          <w:rFonts w:ascii="Times New Roman" w:hAnsi="Times New Roman" w:eastAsia="Times New Roman"/>
          <w:szCs w:val="24"/>
        </w:rPr>
      </w:pPr>
      <w:r>
        <w:rPr>
          <w:rFonts w:ascii="Times New Roman" w:hAnsi="Times New Roman"/>
          <w:szCs w:val="24"/>
        </w:rPr>
        <w:t>These impacts arise from the collective effects of wastewater discharge, potential leaks from septic tanks, and the ov</w:t>
      </w:r>
      <w:r>
        <w:rPr>
          <w:rFonts w:ascii="Times New Roman" w:hAnsi="Times New Roman" w:eastAsia="Times New Roman"/>
          <w:szCs w:val="24"/>
        </w:rPr>
        <w:t>erflow of untreated waste due to inadequate management practices. If not properly managed, these issues can lead to the degradation of local water bodies, affecting biodiversity, drinking water sources, and the overall quality of the ecosystem.</w:t>
      </w:r>
    </w:p>
    <w:p w14:paraId="00708C71">
      <w:pPr>
        <w:spacing w:after="0" w:line="240" w:lineRule="auto"/>
        <w:jc w:val="both"/>
        <w:rPr>
          <w:rFonts w:ascii="Times New Roman" w:hAnsi="Times New Roman" w:eastAsia="Times New Roman"/>
          <w:szCs w:val="24"/>
        </w:rPr>
      </w:pP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Layout w:type="fixed"/>
        <w:tblCellMar>
          <w:top w:w="0" w:type="dxa"/>
          <w:left w:w="108" w:type="dxa"/>
          <w:bottom w:w="0" w:type="dxa"/>
          <w:right w:w="108" w:type="dxa"/>
        </w:tblCellMar>
      </w:tblPr>
      <w:tblGrid>
        <w:gridCol w:w="8296"/>
      </w:tblGrid>
      <w:tr w14:paraId="3BE4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296" w:type="dxa"/>
            <w:shd w:val="clear" w:color="auto" w:fill="CCC0D9"/>
          </w:tcPr>
          <w:p w14:paraId="78C86C04">
            <w:pPr>
              <w:spacing w:after="0" w:line="240" w:lineRule="auto"/>
              <w:rPr>
                <w:rFonts w:ascii="Times New Roman" w:hAnsi="Times New Roman" w:eastAsia="Times New Roman"/>
                <w:b/>
                <w:szCs w:val="24"/>
              </w:rPr>
            </w:pPr>
            <w:r>
              <w:rPr>
                <w:rFonts w:ascii="Times New Roman" w:hAnsi="Times New Roman" w:eastAsia="Times New Roman"/>
                <w:b/>
                <w:szCs w:val="24"/>
              </w:rPr>
              <w:t>Mitigation measures:</w:t>
            </w:r>
          </w:p>
        </w:tc>
      </w:tr>
      <w:tr w14:paraId="6DB8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CCC0D9"/>
          </w:tcPr>
          <w:p w14:paraId="5472707D">
            <w:pPr>
              <w:pStyle w:val="32"/>
              <w:numPr>
                <w:ilvl w:val="0"/>
                <w:numId w:val="65"/>
              </w:numPr>
              <w:spacing w:after="0" w:line="240" w:lineRule="auto"/>
              <w:jc w:val="both"/>
              <w:rPr>
                <w:rFonts w:ascii="Times New Roman" w:hAnsi="Times New Roman" w:eastAsia="Times New Roman"/>
                <w:szCs w:val="24"/>
              </w:rPr>
            </w:pPr>
            <w:r>
              <w:rPr>
                <w:rFonts w:ascii="Times New Roman" w:hAnsi="Times New Roman" w:eastAsia="Times New Roman"/>
                <w:szCs w:val="24"/>
              </w:rPr>
              <w:t>Implement a routine inspection and maintenance schedule for all septic tanks to check for leaks or malfunctions. This includes ensuring that all manhole covers are sealed properly and remain closed.</w:t>
            </w:r>
          </w:p>
          <w:p w14:paraId="4552561C">
            <w:pPr>
              <w:pStyle w:val="32"/>
              <w:numPr>
                <w:ilvl w:val="0"/>
                <w:numId w:val="65"/>
              </w:numPr>
              <w:spacing w:after="0" w:line="240" w:lineRule="auto"/>
              <w:jc w:val="both"/>
              <w:rPr>
                <w:rFonts w:ascii="Times New Roman" w:hAnsi="Times New Roman" w:eastAsia="Times New Roman"/>
                <w:szCs w:val="24"/>
              </w:rPr>
            </w:pPr>
            <w:r>
              <w:rPr>
                <w:rFonts w:ascii="Times New Roman" w:hAnsi="Times New Roman" w:eastAsia="Times New Roman"/>
                <w:szCs w:val="24"/>
              </w:rPr>
              <w:t>Establish a clear and efficient waste removal and disposal protocol for waste generated from the ablution block, ensuring it is transported to a certified treatment facility for processing.</w:t>
            </w:r>
          </w:p>
          <w:p w14:paraId="02BE3CD4">
            <w:pPr>
              <w:pStyle w:val="32"/>
              <w:numPr>
                <w:ilvl w:val="0"/>
                <w:numId w:val="65"/>
              </w:numPr>
              <w:spacing w:after="0" w:line="240" w:lineRule="auto"/>
              <w:jc w:val="both"/>
              <w:rPr>
                <w:rFonts w:ascii="Times New Roman" w:hAnsi="Times New Roman" w:eastAsia="Times New Roman"/>
                <w:szCs w:val="24"/>
              </w:rPr>
            </w:pPr>
            <w:r>
              <w:rPr>
                <w:rFonts w:ascii="Times New Roman" w:hAnsi="Times New Roman" w:eastAsia="Times New Roman"/>
                <w:szCs w:val="24"/>
              </w:rPr>
              <w:t>Conduct training sessions for staff on the importance of proper waste management, sanitation practices, and emergency response procedures. This will help to ensure compliance with environmental standards.</w:t>
            </w:r>
          </w:p>
          <w:p w14:paraId="57303D86">
            <w:pPr>
              <w:pStyle w:val="32"/>
              <w:numPr>
                <w:ilvl w:val="0"/>
                <w:numId w:val="65"/>
              </w:numPr>
              <w:spacing w:after="0" w:line="240" w:lineRule="auto"/>
              <w:jc w:val="both"/>
              <w:rPr>
                <w:rFonts w:ascii="Times New Roman" w:hAnsi="Times New Roman" w:eastAsia="Times New Roman"/>
                <w:szCs w:val="24"/>
              </w:rPr>
            </w:pPr>
            <w:r>
              <w:rPr>
                <w:rFonts w:ascii="Times New Roman" w:hAnsi="Times New Roman" w:eastAsia="Times New Roman"/>
                <w:szCs w:val="24"/>
              </w:rPr>
              <w:t>Develop and enforce a sludge management plan that outlines safe handling, transportation, and disposal procedures for any waste materials to minimize leachate and spills.</w:t>
            </w:r>
          </w:p>
          <w:p w14:paraId="70B51379">
            <w:pPr>
              <w:pStyle w:val="32"/>
              <w:numPr>
                <w:ilvl w:val="0"/>
                <w:numId w:val="65"/>
              </w:numPr>
              <w:spacing w:after="0" w:line="240" w:lineRule="auto"/>
              <w:jc w:val="both"/>
              <w:rPr>
                <w:rFonts w:ascii="Times New Roman" w:hAnsi="Times New Roman" w:eastAsia="Times New Roman"/>
                <w:szCs w:val="24"/>
              </w:rPr>
            </w:pPr>
            <w:r>
              <w:rPr>
                <w:rFonts w:ascii="Times New Roman" w:hAnsi="Times New Roman" w:eastAsia="Times New Roman"/>
                <w:szCs w:val="24"/>
              </w:rPr>
              <w:t>Engage the local community through awareness programs to educate on the potential impacts of water contamination and promote responsible behaviors that support sanitation efforts.</w:t>
            </w:r>
          </w:p>
        </w:tc>
      </w:tr>
    </w:tbl>
    <w:p w14:paraId="6C345793">
      <w:pPr>
        <w:spacing w:line="240" w:lineRule="auto"/>
        <w:rPr>
          <w:rFonts w:ascii="Times New Roman" w:hAnsi="Times New Roman"/>
          <w:b/>
          <w:bCs/>
          <w:szCs w:val="24"/>
        </w:rPr>
      </w:pPr>
      <w:bookmarkStart w:id="596" w:name="_Toc42767866"/>
      <w:bookmarkEnd w:id="596"/>
    </w:p>
    <w:p w14:paraId="2F108AA1">
      <w:pPr>
        <w:spacing w:line="240" w:lineRule="auto"/>
        <w:rPr>
          <w:rFonts w:ascii="Times New Roman" w:hAnsi="Times New Roman"/>
          <w:b/>
          <w:bCs/>
          <w:szCs w:val="24"/>
        </w:rPr>
      </w:pPr>
      <w:r>
        <w:rPr>
          <w:rFonts w:ascii="Times New Roman" w:hAnsi="Times New Roman"/>
          <w:b/>
          <w:bCs/>
          <w:szCs w:val="24"/>
        </w:rPr>
        <w:t>Impacts during De-Commissioning</w:t>
      </w:r>
      <w:bookmarkEnd w:id="594"/>
      <w:bookmarkEnd w:id="595"/>
    </w:p>
    <w:p w14:paraId="28A30F71">
      <w:pPr>
        <w:spacing w:line="240" w:lineRule="auto"/>
        <w:rPr>
          <w:rFonts w:ascii="Times New Roman" w:hAnsi="Times New Roman"/>
          <w:szCs w:val="24"/>
        </w:rPr>
      </w:pPr>
      <w:r>
        <w:rPr>
          <w:rFonts w:ascii="Times New Roman" w:hAnsi="Times New Roman"/>
          <w:szCs w:val="24"/>
        </w:rPr>
        <w:t xml:space="preserve">De-commissioning of the Project is not envisaged. Project components however will be rehabilitated and/or expanded over time having served their useful life as projected by the design engineer to be 30 years. </w:t>
      </w:r>
    </w:p>
    <w:p w14:paraId="12942A6F">
      <w:pPr>
        <w:spacing w:line="240" w:lineRule="auto"/>
        <w:jc w:val="both"/>
        <w:rPr>
          <w:rFonts w:ascii="Times New Roman" w:hAnsi="Times New Roman"/>
          <w:szCs w:val="24"/>
        </w:rPr>
      </w:pPr>
      <w:r>
        <w:rPr>
          <w:rFonts w:ascii="Times New Roman" w:hAnsi="Times New Roman"/>
          <w:szCs w:val="24"/>
        </w:rPr>
        <w:t>As per NEMA requirements, a decommissioning plan shall be prepared and approved by NEMA at least three months before commencement of decommissioning. As a guide, the following presents assessment of likely decommissioning impacts to be considered.</w:t>
      </w:r>
    </w:p>
    <w:tbl>
      <w:tblPr>
        <w:tblStyle w:val="20"/>
        <w:tblW w:w="97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9"/>
        <w:gridCol w:w="4335"/>
      </w:tblGrid>
      <w:tr w14:paraId="0E53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9" w:type="dxa"/>
          </w:tcPr>
          <w:p w14:paraId="592CA9A2">
            <w:pPr>
              <w:spacing w:after="0" w:line="240" w:lineRule="auto"/>
              <w:rPr>
                <w:rFonts w:ascii="Times New Roman" w:hAnsi="Times New Roman"/>
                <w:b/>
                <w:bCs/>
                <w:szCs w:val="24"/>
              </w:rPr>
            </w:pPr>
            <w:r>
              <w:rPr>
                <w:rFonts w:ascii="Times New Roman" w:hAnsi="Times New Roman"/>
                <w:b/>
                <w:bCs/>
                <w:szCs w:val="24"/>
              </w:rPr>
              <w:t xml:space="preserve">Impact/risk </w:t>
            </w:r>
          </w:p>
        </w:tc>
        <w:tc>
          <w:tcPr>
            <w:tcW w:w="4335" w:type="dxa"/>
          </w:tcPr>
          <w:p w14:paraId="2174865E">
            <w:pPr>
              <w:spacing w:after="0" w:line="240" w:lineRule="auto"/>
              <w:rPr>
                <w:rFonts w:ascii="Times New Roman" w:hAnsi="Times New Roman"/>
                <w:b/>
                <w:bCs/>
                <w:szCs w:val="24"/>
              </w:rPr>
            </w:pPr>
            <w:r>
              <w:rPr>
                <w:rFonts w:ascii="Times New Roman" w:hAnsi="Times New Roman"/>
                <w:b/>
                <w:bCs/>
                <w:szCs w:val="24"/>
              </w:rPr>
              <w:t xml:space="preserve">Mitigation </w:t>
            </w:r>
          </w:p>
        </w:tc>
      </w:tr>
      <w:tr w14:paraId="0DED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9" w:type="dxa"/>
          </w:tcPr>
          <w:p w14:paraId="358DEADD">
            <w:pPr>
              <w:spacing w:after="0" w:line="240" w:lineRule="auto"/>
              <w:rPr>
                <w:rFonts w:ascii="Times New Roman" w:hAnsi="Times New Roman"/>
                <w:b/>
                <w:bCs/>
                <w:szCs w:val="24"/>
              </w:rPr>
            </w:pPr>
            <w:r>
              <w:rPr>
                <w:rFonts w:ascii="Times New Roman" w:hAnsi="Times New Roman"/>
                <w:b/>
                <w:bCs/>
                <w:szCs w:val="24"/>
              </w:rPr>
              <w:t>Waste generation</w:t>
            </w:r>
          </w:p>
          <w:p w14:paraId="2077F1E2">
            <w:pPr>
              <w:spacing w:after="0" w:line="240" w:lineRule="auto"/>
              <w:rPr>
                <w:rFonts w:ascii="Times New Roman" w:hAnsi="Times New Roman"/>
                <w:szCs w:val="24"/>
              </w:rPr>
            </w:pPr>
            <w:r>
              <w:rPr>
                <w:rFonts w:ascii="Times New Roman" w:hAnsi="Times New Roman"/>
                <w:szCs w:val="24"/>
              </w:rPr>
              <w:t>Demolition activities will result in generation of both solid waste and effluent. The main sources of solid waste will be demolition waste from the toilets. The waste will include materials such as concrete, metal, wood, adhesives, sealants and fasteners. Although demolition waste is generally considered as less harmful to the environment since they are composed of inert materials, there is growing evidence that large quantities of such waste may lead to release of certain hazardous chemicals into the environment. The debris and other solid waste have a potential to pollute the environment and lower water quality of ground and surface water. Effluent from the proposed bio-digester will also need to be disposed appropriately as it has potential to pollute water.</w:t>
            </w:r>
          </w:p>
        </w:tc>
        <w:tc>
          <w:tcPr>
            <w:tcW w:w="4335" w:type="dxa"/>
          </w:tcPr>
          <w:p w14:paraId="34873D86">
            <w:pPr>
              <w:pStyle w:val="32"/>
              <w:numPr>
                <w:ilvl w:val="0"/>
                <w:numId w:val="66"/>
              </w:numPr>
              <w:spacing w:after="0" w:line="240" w:lineRule="auto"/>
              <w:ind w:left="256"/>
              <w:rPr>
                <w:rFonts w:ascii="Times New Roman" w:hAnsi="Times New Roman"/>
                <w:szCs w:val="24"/>
              </w:rPr>
            </w:pPr>
            <w:r>
              <w:rPr>
                <w:rFonts w:ascii="Times New Roman" w:hAnsi="Times New Roman"/>
                <w:szCs w:val="24"/>
              </w:rPr>
              <w:t xml:space="preserve">Prioritize recovery of re-usable materials for sale/ re-use in other locations </w:t>
            </w:r>
          </w:p>
          <w:p w14:paraId="43501007">
            <w:pPr>
              <w:pStyle w:val="32"/>
              <w:numPr>
                <w:ilvl w:val="0"/>
                <w:numId w:val="66"/>
              </w:numPr>
              <w:spacing w:after="0" w:line="240" w:lineRule="auto"/>
              <w:ind w:left="256"/>
              <w:rPr>
                <w:rFonts w:ascii="Times New Roman" w:hAnsi="Times New Roman"/>
                <w:szCs w:val="24"/>
              </w:rPr>
            </w:pPr>
            <w:r>
              <w:rPr>
                <w:rFonts w:ascii="Times New Roman" w:hAnsi="Times New Roman"/>
                <w:szCs w:val="24"/>
              </w:rPr>
              <w:t>Contract a NEMA licensed waste handler to handle and dispose both solid waste and effluent generated from the demolition activities</w:t>
            </w:r>
          </w:p>
          <w:p w14:paraId="7183A7EB">
            <w:pPr>
              <w:pStyle w:val="32"/>
              <w:numPr>
                <w:ilvl w:val="0"/>
                <w:numId w:val="66"/>
              </w:numPr>
              <w:spacing w:after="0" w:line="240" w:lineRule="auto"/>
              <w:ind w:left="256"/>
              <w:jc w:val="both"/>
              <w:rPr>
                <w:rFonts w:ascii="Times New Roman" w:hAnsi="Times New Roman"/>
                <w:szCs w:val="24"/>
              </w:rPr>
            </w:pPr>
            <w:r>
              <w:rPr>
                <w:rFonts w:ascii="Times New Roman" w:hAnsi="Times New Roman"/>
                <w:szCs w:val="24"/>
              </w:rPr>
              <w:t>Comply with the provisions of the Environmental Management and Coordination (Waste Management) Regulations, 2024</w:t>
            </w:r>
          </w:p>
          <w:p w14:paraId="62CDD83B">
            <w:pPr>
              <w:pStyle w:val="32"/>
              <w:numPr>
                <w:ilvl w:val="0"/>
                <w:numId w:val="66"/>
              </w:numPr>
              <w:spacing w:after="0" w:line="240" w:lineRule="auto"/>
              <w:ind w:left="256"/>
              <w:jc w:val="both"/>
              <w:rPr>
                <w:rFonts w:ascii="Times New Roman" w:hAnsi="Times New Roman"/>
                <w:szCs w:val="24"/>
              </w:rPr>
            </w:pPr>
            <w:r>
              <w:rPr>
                <w:rFonts w:ascii="Times New Roman" w:hAnsi="Times New Roman"/>
                <w:szCs w:val="24"/>
              </w:rPr>
              <w:t>Comply with the provisions of the Environmental Management and Coordination (Water Quality) Regulations, 2025</w:t>
            </w:r>
          </w:p>
        </w:tc>
      </w:tr>
      <w:tr w14:paraId="763D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9" w:type="dxa"/>
          </w:tcPr>
          <w:p w14:paraId="627CC440">
            <w:pPr>
              <w:spacing w:after="0" w:line="240" w:lineRule="auto"/>
              <w:rPr>
                <w:rFonts w:ascii="Times New Roman" w:hAnsi="Times New Roman"/>
                <w:b/>
                <w:bCs/>
                <w:szCs w:val="24"/>
              </w:rPr>
            </w:pPr>
            <w:r>
              <w:rPr>
                <w:rFonts w:ascii="Times New Roman" w:hAnsi="Times New Roman"/>
                <w:b/>
                <w:bCs/>
                <w:szCs w:val="24"/>
              </w:rPr>
              <w:t>Safety and health hazards</w:t>
            </w:r>
          </w:p>
          <w:p w14:paraId="6781AE61">
            <w:pPr>
              <w:spacing w:after="0" w:line="240" w:lineRule="auto"/>
              <w:rPr>
                <w:rFonts w:ascii="Times New Roman" w:hAnsi="Times New Roman"/>
                <w:szCs w:val="24"/>
              </w:rPr>
            </w:pPr>
            <w:r>
              <w:rPr>
                <w:rFonts w:ascii="Times New Roman" w:hAnsi="Times New Roman"/>
                <w:szCs w:val="24"/>
              </w:rPr>
              <w:t xml:space="preserve">Safety and health risks during demolition are likely to emanate from accidental falls and cuts, injuries from demolition tools and machinery use. Noise and air pollution from demolitions works could pose a health and safety risks to workers, neighbours and visitors to the site. </w:t>
            </w:r>
          </w:p>
          <w:p w14:paraId="750BA4FD">
            <w:pPr>
              <w:spacing w:after="0" w:line="240" w:lineRule="auto"/>
              <w:rPr>
                <w:rFonts w:ascii="Times New Roman" w:hAnsi="Times New Roman"/>
                <w:szCs w:val="24"/>
              </w:rPr>
            </w:pPr>
          </w:p>
          <w:p w14:paraId="5AC57160">
            <w:pPr>
              <w:spacing w:after="0" w:line="240" w:lineRule="auto"/>
              <w:rPr>
                <w:rFonts w:ascii="Times New Roman" w:hAnsi="Times New Roman"/>
                <w:szCs w:val="24"/>
              </w:rPr>
            </w:pPr>
          </w:p>
        </w:tc>
        <w:tc>
          <w:tcPr>
            <w:tcW w:w="4335" w:type="dxa"/>
          </w:tcPr>
          <w:p w14:paraId="639B4644">
            <w:pPr>
              <w:pStyle w:val="32"/>
              <w:numPr>
                <w:ilvl w:val="0"/>
                <w:numId w:val="66"/>
              </w:numPr>
              <w:spacing w:after="0" w:line="240" w:lineRule="auto"/>
              <w:ind w:left="256"/>
              <w:rPr>
                <w:rFonts w:ascii="Times New Roman" w:hAnsi="Times New Roman"/>
                <w:szCs w:val="24"/>
              </w:rPr>
            </w:pPr>
            <w:r>
              <w:rPr>
                <w:rFonts w:ascii="Times New Roman" w:hAnsi="Times New Roman"/>
                <w:szCs w:val="24"/>
              </w:rPr>
              <w:t>Contract a licensed construction company to carry out demolitions</w:t>
            </w:r>
          </w:p>
          <w:p w14:paraId="56E3891A">
            <w:pPr>
              <w:pStyle w:val="32"/>
              <w:numPr>
                <w:ilvl w:val="0"/>
                <w:numId w:val="66"/>
              </w:numPr>
              <w:spacing w:after="0" w:line="240" w:lineRule="auto"/>
              <w:ind w:left="256"/>
              <w:rPr>
                <w:rFonts w:ascii="Times New Roman" w:hAnsi="Times New Roman"/>
                <w:szCs w:val="24"/>
              </w:rPr>
            </w:pPr>
            <w:r>
              <w:rPr>
                <w:rFonts w:ascii="Times New Roman" w:hAnsi="Times New Roman"/>
                <w:szCs w:val="24"/>
              </w:rPr>
              <w:t xml:space="preserve">Install signage to forewarn people on ongoing demolition activities </w:t>
            </w:r>
          </w:p>
          <w:p w14:paraId="720F8196">
            <w:pPr>
              <w:pStyle w:val="32"/>
              <w:numPr>
                <w:ilvl w:val="0"/>
                <w:numId w:val="66"/>
              </w:numPr>
              <w:spacing w:after="0" w:line="240" w:lineRule="auto"/>
              <w:ind w:left="256"/>
              <w:rPr>
                <w:rFonts w:ascii="Times New Roman" w:hAnsi="Times New Roman"/>
                <w:szCs w:val="24"/>
              </w:rPr>
            </w:pPr>
            <w:r>
              <w:rPr>
                <w:rFonts w:ascii="Times New Roman" w:hAnsi="Times New Roman"/>
                <w:szCs w:val="24"/>
              </w:rPr>
              <w:t>Provide and enforce the use of PPE throughout the demolition works</w:t>
            </w:r>
          </w:p>
          <w:p w14:paraId="57EB3AD9">
            <w:pPr>
              <w:pStyle w:val="32"/>
              <w:numPr>
                <w:ilvl w:val="0"/>
                <w:numId w:val="66"/>
              </w:numPr>
              <w:spacing w:after="0" w:line="240" w:lineRule="auto"/>
              <w:ind w:left="256"/>
              <w:rPr>
                <w:rFonts w:ascii="Times New Roman" w:hAnsi="Times New Roman"/>
                <w:szCs w:val="24"/>
              </w:rPr>
            </w:pPr>
            <w:r>
              <w:rPr>
                <w:rFonts w:ascii="Times New Roman" w:hAnsi="Times New Roman"/>
                <w:szCs w:val="24"/>
              </w:rPr>
              <w:t>Avail first aid kits and ensure availability of a trained first aider on site throughout the entire decommissioning period</w:t>
            </w:r>
          </w:p>
        </w:tc>
      </w:tr>
      <w:tr w14:paraId="5DBF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9" w:type="dxa"/>
          </w:tcPr>
          <w:p w14:paraId="2D495178">
            <w:pPr>
              <w:spacing w:after="0" w:line="240" w:lineRule="auto"/>
              <w:rPr>
                <w:rFonts w:ascii="Times New Roman" w:hAnsi="Times New Roman"/>
                <w:b/>
                <w:bCs/>
                <w:szCs w:val="24"/>
              </w:rPr>
            </w:pPr>
            <w:r>
              <w:rPr>
                <w:rFonts w:ascii="Times New Roman" w:hAnsi="Times New Roman"/>
                <w:b/>
                <w:bCs/>
                <w:szCs w:val="24"/>
              </w:rPr>
              <w:t xml:space="preserve">Site landscape </w:t>
            </w:r>
          </w:p>
          <w:p w14:paraId="70C737F1">
            <w:pPr>
              <w:spacing w:after="0" w:line="240" w:lineRule="auto"/>
              <w:rPr>
                <w:rFonts w:ascii="Times New Roman" w:hAnsi="Times New Roman"/>
                <w:szCs w:val="24"/>
              </w:rPr>
            </w:pPr>
            <w:r>
              <w:rPr>
                <w:rFonts w:ascii="Times New Roman" w:hAnsi="Times New Roman"/>
                <w:szCs w:val="24"/>
              </w:rPr>
              <w:t>Decommissioning of the ablution block will leave behind concrete rubbles and associated unwanted materials which if not properly rehabilitated will result in scarred landscape unsightly to the area patrons and nearby businesses</w:t>
            </w:r>
          </w:p>
          <w:p w14:paraId="25BA001B">
            <w:pPr>
              <w:spacing w:after="0" w:line="240" w:lineRule="auto"/>
              <w:rPr>
                <w:rFonts w:ascii="Times New Roman" w:hAnsi="Times New Roman"/>
                <w:szCs w:val="24"/>
              </w:rPr>
            </w:pPr>
            <w:r>
              <w:rPr>
                <w:rFonts w:ascii="Times New Roman" w:hAnsi="Times New Roman"/>
                <w:szCs w:val="24"/>
              </w:rPr>
              <w:t xml:space="preserve"> </w:t>
            </w:r>
          </w:p>
        </w:tc>
        <w:tc>
          <w:tcPr>
            <w:tcW w:w="4335" w:type="dxa"/>
          </w:tcPr>
          <w:p w14:paraId="6BA2C07B">
            <w:pPr>
              <w:pStyle w:val="32"/>
              <w:numPr>
                <w:ilvl w:val="0"/>
                <w:numId w:val="66"/>
              </w:numPr>
              <w:spacing w:after="0" w:line="240" w:lineRule="auto"/>
              <w:ind w:left="256"/>
              <w:rPr>
                <w:rFonts w:ascii="Times New Roman" w:hAnsi="Times New Roman"/>
                <w:szCs w:val="24"/>
              </w:rPr>
            </w:pPr>
            <w:r>
              <w:rPr>
                <w:rFonts w:ascii="Times New Roman" w:hAnsi="Times New Roman"/>
                <w:szCs w:val="24"/>
              </w:rPr>
              <w:t>Incorporate and implement site rehabilitation inclusive of appropriate landscaping and drainage works within the decommission plan.</w:t>
            </w:r>
          </w:p>
        </w:tc>
      </w:tr>
    </w:tbl>
    <w:p w14:paraId="08B34098">
      <w:pPr>
        <w:spacing w:line="240" w:lineRule="auto"/>
        <w:rPr>
          <w:rFonts w:ascii="Times New Roman" w:hAnsi="Times New Roman"/>
          <w:szCs w:val="24"/>
        </w:rPr>
      </w:pPr>
    </w:p>
    <w:p w14:paraId="5FC1C303">
      <w:pPr>
        <w:spacing w:after="0" w:line="240" w:lineRule="auto"/>
        <w:rPr>
          <w:rFonts w:ascii="Times New Roman" w:hAnsi="Times New Roman"/>
          <w:szCs w:val="24"/>
        </w:rPr>
      </w:pPr>
      <w:r>
        <w:rPr>
          <w:rFonts w:ascii="Times New Roman" w:hAnsi="Times New Roman"/>
          <w:szCs w:val="24"/>
        </w:rPr>
        <w:br w:type="page"/>
      </w:r>
    </w:p>
    <w:p w14:paraId="276321FC">
      <w:pPr>
        <w:pStyle w:val="3"/>
        <w:rPr>
          <w:rFonts w:ascii="Times New Roman" w:hAnsi="Times New Roman" w:cs="Times New Roman"/>
        </w:rPr>
      </w:pPr>
      <w:bookmarkStart w:id="597" w:name="_Toc514235279"/>
      <w:bookmarkStart w:id="598" w:name="_Toc514144054"/>
      <w:bookmarkStart w:id="599" w:name="_Toc22540"/>
      <w:bookmarkStart w:id="600" w:name="_Toc15679"/>
      <w:bookmarkStart w:id="601" w:name="_Toc6293"/>
      <w:bookmarkStart w:id="602" w:name="_Toc220710863"/>
      <w:r>
        <w:rPr>
          <w:rFonts w:ascii="Times New Roman" w:hAnsi="Times New Roman" w:cs="Times New Roman"/>
        </w:rPr>
        <w:t>8</w:t>
      </w:r>
      <w:r>
        <w:rPr>
          <w:rFonts w:ascii="Times New Roman" w:hAnsi="Times New Roman" w:cs="Times New Roman"/>
        </w:rPr>
        <w:tab/>
      </w:r>
      <w:r>
        <w:rPr>
          <w:rFonts w:ascii="Times New Roman" w:hAnsi="Times New Roman" w:cs="Times New Roman"/>
        </w:rPr>
        <w:t>ENVIRONMENTAL AND SOCIAL MANAGEMENT PLAN (ESMP)</w:t>
      </w:r>
      <w:bookmarkEnd w:id="597"/>
      <w:bookmarkEnd w:id="598"/>
      <w:bookmarkEnd w:id="599"/>
      <w:bookmarkEnd w:id="600"/>
      <w:bookmarkEnd w:id="601"/>
      <w:bookmarkEnd w:id="602"/>
    </w:p>
    <w:p w14:paraId="211B767F">
      <w:pPr>
        <w:pStyle w:val="3"/>
        <w:spacing w:line="240" w:lineRule="auto"/>
        <w:rPr>
          <w:rFonts w:ascii="Times New Roman" w:hAnsi="Times New Roman" w:cs="Times New Roman"/>
          <w:sz w:val="24"/>
          <w:szCs w:val="24"/>
        </w:rPr>
      </w:pPr>
      <w:bookmarkStart w:id="603" w:name="_Toc9235"/>
      <w:bookmarkStart w:id="604" w:name="_Toc12292"/>
      <w:bookmarkStart w:id="605" w:name="_Toc1349"/>
      <w:bookmarkStart w:id="606" w:name="_Toc534726101"/>
      <w:bookmarkStart w:id="607" w:name="_Toc220710864"/>
      <w:r>
        <w:rPr>
          <w:rFonts w:ascii="Times New Roman" w:hAnsi="Times New Roman" w:cs="Times New Roman"/>
          <w:sz w:val="24"/>
          <w:szCs w:val="24"/>
        </w:rPr>
        <w:t>8.1</w:t>
      </w:r>
      <w:r>
        <w:rPr>
          <w:rFonts w:ascii="Times New Roman" w:hAnsi="Times New Roman" w:cs="Times New Roman"/>
          <w:sz w:val="24"/>
          <w:szCs w:val="24"/>
        </w:rPr>
        <w:tab/>
      </w:r>
      <w:r>
        <w:rPr>
          <w:rFonts w:ascii="Times New Roman" w:hAnsi="Times New Roman" w:cs="Times New Roman"/>
          <w:sz w:val="24"/>
          <w:szCs w:val="24"/>
        </w:rPr>
        <w:t>Significance of ESMP</w:t>
      </w:r>
      <w:bookmarkEnd w:id="603"/>
      <w:bookmarkEnd w:id="604"/>
      <w:bookmarkEnd w:id="605"/>
      <w:bookmarkEnd w:id="606"/>
      <w:bookmarkEnd w:id="607"/>
    </w:p>
    <w:p w14:paraId="359DB796">
      <w:pPr>
        <w:spacing w:after="200" w:line="240" w:lineRule="auto"/>
        <w:jc w:val="both"/>
        <w:rPr>
          <w:rFonts w:ascii="Times New Roman" w:hAnsi="Times New Roman"/>
          <w:szCs w:val="24"/>
        </w:rPr>
      </w:pPr>
      <w:r>
        <w:rPr>
          <w:rFonts w:ascii="Times New Roman" w:hAnsi="Times New Roman"/>
          <w:szCs w:val="24"/>
        </w:rPr>
        <w:t>An Environmental and Social Management Plan (ESMP) for developing projects is used to provide a logical framework within which identified negative environmental impacts can be avoided, mitigated and monitored. In addition, the ESMP assigns responsibilities of actions to various actors and provides a timeframe within which mitigation measures and monitoring can be done. The ESMP is a vital output of an Environmental and Social Impact Assessment as it provides a checklist for project monitoring and evaluation. The ESMP outlined below will address the identified potential negative impacts and mitigation measures of the Project.</w:t>
      </w:r>
    </w:p>
    <w:p w14:paraId="7E98B9F9">
      <w:pPr>
        <w:pStyle w:val="3"/>
        <w:spacing w:line="240" w:lineRule="auto"/>
        <w:rPr>
          <w:rFonts w:ascii="Times New Roman" w:hAnsi="Times New Roman" w:cs="Times New Roman"/>
          <w:sz w:val="24"/>
          <w:szCs w:val="24"/>
        </w:rPr>
      </w:pPr>
      <w:bookmarkStart w:id="608" w:name="_Toc220710865"/>
      <w:bookmarkStart w:id="609" w:name="_Toc15783"/>
      <w:bookmarkStart w:id="610" w:name="_Toc9179"/>
      <w:bookmarkStart w:id="611" w:name="_Toc534726102"/>
      <w:bookmarkStart w:id="612" w:name="_Toc27051"/>
      <w:r>
        <w:rPr>
          <w:rFonts w:ascii="Times New Roman" w:hAnsi="Times New Roman" w:cs="Times New Roman"/>
          <w:sz w:val="24"/>
          <w:szCs w:val="24"/>
        </w:rPr>
        <w:t>8.2</w:t>
      </w:r>
      <w:r>
        <w:rPr>
          <w:rFonts w:ascii="Times New Roman" w:hAnsi="Times New Roman" w:cs="Times New Roman"/>
          <w:sz w:val="24"/>
          <w:szCs w:val="24"/>
        </w:rPr>
        <w:tab/>
      </w:r>
      <w:r>
        <w:rPr>
          <w:rFonts w:ascii="Times New Roman" w:hAnsi="Times New Roman" w:cs="Times New Roman"/>
          <w:sz w:val="24"/>
          <w:szCs w:val="24"/>
        </w:rPr>
        <w:t>Purpose and Objectives of ESMP</w:t>
      </w:r>
      <w:bookmarkEnd w:id="608"/>
      <w:bookmarkEnd w:id="609"/>
      <w:bookmarkEnd w:id="610"/>
      <w:bookmarkEnd w:id="611"/>
      <w:bookmarkEnd w:id="612"/>
    </w:p>
    <w:p w14:paraId="44238669">
      <w:pPr>
        <w:spacing w:after="200" w:line="240" w:lineRule="auto"/>
        <w:jc w:val="both"/>
        <w:rPr>
          <w:rFonts w:ascii="Times New Roman" w:hAnsi="Times New Roman"/>
          <w:szCs w:val="24"/>
        </w:rPr>
      </w:pPr>
      <w:r>
        <w:rPr>
          <w:rFonts w:ascii="Times New Roman" w:hAnsi="Times New Roman"/>
          <w:szCs w:val="24"/>
        </w:rPr>
        <w:t xml:space="preserve">The specific objectives of the ESMP are to: </w:t>
      </w:r>
    </w:p>
    <w:p w14:paraId="21E834DA">
      <w:pPr>
        <w:numPr>
          <w:ilvl w:val="0"/>
          <w:numId w:val="67"/>
        </w:numPr>
        <w:spacing w:after="200" w:line="240" w:lineRule="auto"/>
        <w:contextualSpacing/>
        <w:jc w:val="both"/>
        <w:rPr>
          <w:rFonts w:ascii="Times New Roman" w:hAnsi="Times New Roman"/>
          <w:szCs w:val="24"/>
        </w:rPr>
      </w:pPr>
      <w:r>
        <w:rPr>
          <w:rFonts w:ascii="Times New Roman" w:hAnsi="Times New Roman"/>
          <w:szCs w:val="24"/>
        </w:rPr>
        <w:t xml:space="preserve">Serve as a guiding document for the environmental and social monitoring activities for the supervising expert, contractor and the client management including requisite progress reports. </w:t>
      </w:r>
    </w:p>
    <w:p w14:paraId="64404657">
      <w:pPr>
        <w:numPr>
          <w:ilvl w:val="0"/>
          <w:numId w:val="67"/>
        </w:numPr>
        <w:spacing w:after="200" w:line="240" w:lineRule="auto"/>
        <w:contextualSpacing/>
        <w:jc w:val="both"/>
        <w:rPr>
          <w:rFonts w:ascii="Times New Roman" w:hAnsi="Times New Roman"/>
          <w:szCs w:val="24"/>
        </w:rPr>
      </w:pPr>
      <w:r>
        <w:rPr>
          <w:rFonts w:ascii="Times New Roman" w:hAnsi="Times New Roman"/>
          <w:szCs w:val="24"/>
        </w:rPr>
        <w:t xml:space="preserve">Provide detailed specifications for the management and mitigation of activities that have the potential to impact negatively on the environment. </w:t>
      </w:r>
    </w:p>
    <w:p w14:paraId="10D76BD3">
      <w:pPr>
        <w:numPr>
          <w:ilvl w:val="0"/>
          <w:numId w:val="67"/>
        </w:numPr>
        <w:spacing w:after="200" w:line="240" w:lineRule="auto"/>
        <w:contextualSpacing/>
        <w:jc w:val="both"/>
        <w:rPr>
          <w:rFonts w:ascii="Times New Roman" w:hAnsi="Times New Roman"/>
          <w:szCs w:val="24"/>
        </w:rPr>
      </w:pPr>
      <w:r>
        <w:rPr>
          <w:rFonts w:ascii="Times New Roman" w:hAnsi="Times New Roman"/>
          <w:szCs w:val="24"/>
        </w:rPr>
        <w:t xml:space="preserve">Provide instructions to relevant project personnel regarding procedures for protecting the environment and minimizing environmental effects. </w:t>
      </w:r>
    </w:p>
    <w:p w14:paraId="33502690">
      <w:pPr>
        <w:numPr>
          <w:ilvl w:val="0"/>
          <w:numId w:val="67"/>
        </w:numPr>
        <w:spacing w:after="200" w:line="240" w:lineRule="auto"/>
        <w:contextualSpacing/>
        <w:jc w:val="both"/>
        <w:rPr>
          <w:rFonts w:ascii="Times New Roman" w:hAnsi="Times New Roman"/>
          <w:szCs w:val="24"/>
        </w:rPr>
      </w:pPr>
      <w:r>
        <w:rPr>
          <w:rFonts w:ascii="Times New Roman" w:hAnsi="Times New Roman"/>
          <w:szCs w:val="24"/>
        </w:rPr>
        <w:t>Document environmental concerns and appropriate protection measures; while ensuring that corrective actions are completed in a timely manner.</w:t>
      </w:r>
    </w:p>
    <w:p w14:paraId="24E442E6">
      <w:pPr>
        <w:pStyle w:val="3"/>
        <w:spacing w:line="240" w:lineRule="auto"/>
        <w:rPr>
          <w:rFonts w:ascii="Times New Roman" w:hAnsi="Times New Roman" w:cs="Times New Roman"/>
          <w:sz w:val="24"/>
          <w:szCs w:val="24"/>
        </w:rPr>
      </w:pPr>
      <w:bookmarkStart w:id="613" w:name="_Toc26948"/>
      <w:bookmarkStart w:id="614" w:name="_Toc15853"/>
      <w:bookmarkStart w:id="615" w:name="_Toc534726103"/>
      <w:bookmarkStart w:id="616" w:name="_Toc9162"/>
      <w:bookmarkStart w:id="617" w:name="_Toc220710866"/>
      <w:r>
        <w:rPr>
          <w:rFonts w:ascii="Times New Roman" w:hAnsi="Times New Roman" w:cs="Times New Roman"/>
          <w:sz w:val="24"/>
          <w:szCs w:val="24"/>
        </w:rPr>
        <w:t>8.3</w:t>
      </w:r>
      <w:r>
        <w:rPr>
          <w:rFonts w:ascii="Times New Roman" w:hAnsi="Times New Roman" w:cs="Times New Roman"/>
          <w:sz w:val="24"/>
          <w:szCs w:val="24"/>
        </w:rPr>
        <w:tab/>
      </w:r>
      <w:r>
        <w:rPr>
          <w:rFonts w:ascii="Times New Roman" w:hAnsi="Times New Roman" w:cs="Times New Roman"/>
          <w:sz w:val="24"/>
          <w:szCs w:val="24"/>
        </w:rPr>
        <w:t>Auditing of ESMP</w:t>
      </w:r>
      <w:bookmarkEnd w:id="613"/>
      <w:bookmarkEnd w:id="614"/>
      <w:bookmarkEnd w:id="615"/>
      <w:bookmarkEnd w:id="616"/>
      <w:bookmarkEnd w:id="617"/>
    </w:p>
    <w:p w14:paraId="63E72A33">
      <w:pPr>
        <w:spacing w:after="200" w:line="240" w:lineRule="auto"/>
        <w:jc w:val="both"/>
        <w:rPr>
          <w:rFonts w:ascii="Times New Roman" w:hAnsi="Times New Roman"/>
          <w:szCs w:val="24"/>
        </w:rPr>
      </w:pPr>
      <w:r>
        <w:rPr>
          <w:rFonts w:ascii="Times New Roman" w:hAnsi="Times New Roman"/>
          <w:szCs w:val="24"/>
        </w:rPr>
        <w:t>KIMAWASCO, the Consultant and the contractor shall conduct regular audits to the ESMP to ensure that the system for implementation of the ESMP is operating effectively. The audit shall check that a procedure is in place to ensure that:</w:t>
      </w:r>
    </w:p>
    <w:p w14:paraId="364ACCA8">
      <w:pPr>
        <w:numPr>
          <w:ilvl w:val="0"/>
          <w:numId w:val="68"/>
        </w:numPr>
        <w:spacing w:after="200" w:line="240" w:lineRule="auto"/>
        <w:contextualSpacing/>
        <w:jc w:val="both"/>
        <w:rPr>
          <w:rFonts w:ascii="Times New Roman" w:hAnsi="Times New Roman"/>
          <w:szCs w:val="24"/>
        </w:rPr>
      </w:pPr>
      <w:r>
        <w:rPr>
          <w:rFonts w:ascii="Times New Roman" w:hAnsi="Times New Roman"/>
          <w:szCs w:val="24"/>
        </w:rPr>
        <w:t xml:space="preserve">The ESMP being used is the up-to-date version; </w:t>
      </w:r>
    </w:p>
    <w:p w14:paraId="6E9A129C">
      <w:pPr>
        <w:numPr>
          <w:ilvl w:val="0"/>
          <w:numId w:val="68"/>
        </w:numPr>
        <w:spacing w:after="200" w:line="240" w:lineRule="auto"/>
        <w:contextualSpacing/>
        <w:jc w:val="both"/>
        <w:rPr>
          <w:rFonts w:ascii="Times New Roman" w:hAnsi="Times New Roman"/>
          <w:szCs w:val="24"/>
        </w:rPr>
      </w:pPr>
      <w:r>
        <w:rPr>
          <w:rFonts w:ascii="Times New Roman" w:hAnsi="Times New Roman"/>
          <w:szCs w:val="24"/>
        </w:rPr>
        <w:t xml:space="preserve">Variations to the ESMP and non-compliance and corrective action are documented; </w:t>
      </w:r>
    </w:p>
    <w:p w14:paraId="27C8D2C0">
      <w:pPr>
        <w:numPr>
          <w:ilvl w:val="0"/>
          <w:numId w:val="68"/>
        </w:numPr>
        <w:spacing w:after="200" w:line="240" w:lineRule="auto"/>
        <w:contextualSpacing/>
        <w:jc w:val="both"/>
        <w:rPr>
          <w:rFonts w:ascii="Times New Roman" w:hAnsi="Times New Roman"/>
          <w:szCs w:val="24"/>
        </w:rPr>
      </w:pPr>
      <w:r>
        <w:rPr>
          <w:rFonts w:ascii="Times New Roman" w:hAnsi="Times New Roman"/>
          <w:szCs w:val="24"/>
        </w:rPr>
        <w:t xml:space="preserve">Appropriate environmental training of personnel is undertaken; </w:t>
      </w:r>
    </w:p>
    <w:p w14:paraId="5E49CEC3">
      <w:pPr>
        <w:numPr>
          <w:ilvl w:val="0"/>
          <w:numId w:val="68"/>
        </w:numPr>
        <w:spacing w:after="200" w:line="240" w:lineRule="auto"/>
        <w:contextualSpacing/>
        <w:jc w:val="both"/>
        <w:rPr>
          <w:rFonts w:ascii="Times New Roman" w:hAnsi="Times New Roman"/>
          <w:szCs w:val="24"/>
        </w:rPr>
      </w:pPr>
      <w:r>
        <w:rPr>
          <w:rFonts w:ascii="Times New Roman" w:hAnsi="Times New Roman"/>
          <w:szCs w:val="24"/>
        </w:rPr>
        <w:t xml:space="preserve">Emergency procedures are in place and effectively communicated to personnel; </w:t>
      </w:r>
    </w:p>
    <w:p w14:paraId="508E05D3">
      <w:pPr>
        <w:numPr>
          <w:ilvl w:val="0"/>
          <w:numId w:val="68"/>
        </w:numPr>
        <w:spacing w:after="200" w:line="240" w:lineRule="auto"/>
        <w:contextualSpacing/>
        <w:jc w:val="both"/>
        <w:rPr>
          <w:rFonts w:ascii="Times New Roman" w:hAnsi="Times New Roman"/>
          <w:szCs w:val="24"/>
        </w:rPr>
      </w:pPr>
      <w:r>
        <w:rPr>
          <w:rFonts w:ascii="Times New Roman" w:hAnsi="Times New Roman"/>
          <w:szCs w:val="24"/>
        </w:rPr>
        <w:t xml:space="preserve">A register of major incidents (spills, injuries, complaints) is in place and other documentation related to the ESMP; and </w:t>
      </w:r>
    </w:p>
    <w:p w14:paraId="73825A92">
      <w:pPr>
        <w:numPr>
          <w:ilvl w:val="0"/>
          <w:numId w:val="68"/>
        </w:numPr>
        <w:spacing w:after="200" w:line="240" w:lineRule="auto"/>
        <w:contextualSpacing/>
        <w:jc w:val="both"/>
        <w:rPr>
          <w:rFonts w:ascii="Times New Roman" w:hAnsi="Times New Roman"/>
          <w:szCs w:val="24"/>
        </w:rPr>
      </w:pPr>
      <w:r>
        <w:rPr>
          <w:rFonts w:ascii="Times New Roman" w:hAnsi="Times New Roman"/>
          <w:szCs w:val="24"/>
        </w:rPr>
        <w:t>Ensure that appropriate corrective and preventive action is taken by the Contractor once instructions have been issued</w:t>
      </w:r>
    </w:p>
    <w:p w14:paraId="6AD99AF5">
      <w:pPr>
        <w:pStyle w:val="3"/>
        <w:spacing w:line="240" w:lineRule="auto"/>
        <w:rPr>
          <w:rFonts w:ascii="Times New Roman" w:hAnsi="Times New Roman" w:cs="Times New Roman"/>
          <w:sz w:val="24"/>
          <w:szCs w:val="24"/>
        </w:rPr>
      </w:pPr>
      <w:bookmarkStart w:id="618" w:name="_Toc25323"/>
      <w:bookmarkStart w:id="619" w:name="_Toc534726110"/>
      <w:bookmarkStart w:id="620" w:name="_Toc5432"/>
      <w:bookmarkStart w:id="621" w:name="_Toc220710867"/>
      <w:bookmarkStart w:id="622" w:name="_Toc32125"/>
      <w:r>
        <w:rPr>
          <w:rFonts w:ascii="Times New Roman" w:hAnsi="Times New Roman" w:cs="Times New Roman"/>
          <w:sz w:val="24"/>
          <w:szCs w:val="24"/>
        </w:rPr>
        <w:t>8.4</w:t>
      </w:r>
      <w:r>
        <w:rPr>
          <w:rFonts w:ascii="Times New Roman" w:hAnsi="Times New Roman" w:cs="Times New Roman"/>
          <w:sz w:val="24"/>
          <w:szCs w:val="24"/>
        </w:rPr>
        <w:tab/>
      </w:r>
      <w:r>
        <w:rPr>
          <w:rFonts w:ascii="Times New Roman" w:hAnsi="Times New Roman" w:cs="Times New Roman"/>
          <w:sz w:val="24"/>
          <w:szCs w:val="24"/>
        </w:rPr>
        <w:t>Project implementation</w:t>
      </w:r>
      <w:bookmarkEnd w:id="618"/>
      <w:bookmarkEnd w:id="619"/>
      <w:bookmarkEnd w:id="620"/>
      <w:bookmarkEnd w:id="621"/>
      <w:bookmarkEnd w:id="622"/>
    </w:p>
    <w:p w14:paraId="391A9606">
      <w:pPr>
        <w:spacing w:after="200" w:line="240" w:lineRule="auto"/>
        <w:jc w:val="both"/>
        <w:rPr>
          <w:rFonts w:ascii="Times New Roman" w:hAnsi="Times New Roman"/>
          <w:szCs w:val="24"/>
        </w:rPr>
      </w:pPr>
      <w:r>
        <w:rPr>
          <w:rFonts w:ascii="Times New Roman" w:hAnsi="Times New Roman"/>
          <w:szCs w:val="24"/>
        </w:rPr>
        <w:t xml:space="preserve">The programme should incorporate practical timeframes for the construction contract lengths and the periods required for the construction stages. Sufficient time should be allowed for: </w:t>
      </w:r>
    </w:p>
    <w:p w14:paraId="4BFA491C">
      <w:pPr>
        <w:numPr>
          <w:ilvl w:val="0"/>
          <w:numId w:val="69"/>
        </w:numPr>
        <w:spacing w:after="200" w:line="240" w:lineRule="auto"/>
        <w:contextualSpacing/>
        <w:jc w:val="both"/>
        <w:rPr>
          <w:rFonts w:ascii="Times New Roman" w:hAnsi="Times New Roman"/>
          <w:szCs w:val="24"/>
        </w:rPr>
      </w:pPr>
      <w:r>
        <w:rPr>
          <w:rFonts w:ascii="Times New Roman" w:hAnsi="Times New Roman"/>
          <w:szCs w:val="24"/>
        </w:rPr>
        <w:t>the preparation of tender documents</w:t>
      </w:r>
    </w:p>
    <w:p w14:paraId="5BD38459">
      <w:pPr>
        <w:numPr>
          <w:ilvl w:val="0"/>
          <w:numId w:val="69"/>
        </w:numPr>
        <w:spacing w:after="200" w:line="240" w:lineRule="auto"/>
        <w:contextualSpacing/>
        <w:jc w:val="both"/>
        <w:rPr>
          <w:rFonts w:ascii="Times New Roman" w:hAnsi="Times New Roman"/>
          <w:szCs w:val="24"/>
        </w:rPr>
      </w:pPr>
      <w:r>
        <w:rPr>
          <w:rFonts w:ascii="Times New Roman" w:hAnsi="Times New Roman"/>
          <w:szCs w:val="24"/>
        </w:rPr>
        <w:t>tendering and tender analysis, recommendations and acceptance</w:t>
      </w:r>
    </w:p>
    <w:p w14:paraId="5C89279E">
      <w:pPr>
        <w:numPr>
          <w:ilvl w:val="0"/>
          <w:numId w:val="69"/>
        </w:numPr>
        <w:spacing w:after="200" w:line="240" w:lineRule="auto"/>
        <w:contextualSpacing/>
        <w:jc w:val="both"/>
        <w:rPr>
          <w:rFonts w:ascii="Times New Roman" w:hAnsi="Times New Roman"/>
          <w:szCs w:val="24"/>
        </w:rPr>
      </w:pPr>
      <w:r>
        <w:rPr>
          <w:rFonts w:ascii="Times New Roman" w:hAnsi="Times New Roman"/>
          <w:szCs w:val="24"/>
        </w:rPr>
        <w:t xml:space="preserve">and the contractor's mobilization. </w:t>
      </w:r>
    </w:p>
    <w:p w14:paraId="14C1B7B6">
      <w:pPr>
        <w:spacing w:line="240" w:lineRule="auto"/>
        <w:jc w:val="both"/>
        <w:rPr>
          <w:rFonts w:ascii="Times New Roman" w:hAnsi="Times New Roman"/>
          <w:szCs w:val="24"/>
        </w:rPr>
      </w:pPr>
      <w:r>
        <w:rPr>
          <w:rFonts w:ascii="Times New Roman" w:hAnsi="Times New Roman"/>
          <w:szCs w:val="24"/>
        </w:rPr>
        <w:t>To accelerate implementation, some activities can, be initiated before the real start of a project. These initial actions will include the pre-qualification and selection of design and supervision experts and the preparation of tender documents for any site-preparation works in advance of the main construction contract.</w:t>
      </w:r>
    </w:p>
    <w:p w14:paraId="66B17664">
      <w:pPr>
        <w:spacing w:line="240" w:lineRule="auto"/>
        <w:jc w:val="both"/>
        <w:rPr>
          <w:rFonts w:ascii="Times New Roman" w:hAnsi="Times New Roman"/>
          <w:b/>
          <w:bCs/>
          <w:szCs w:val="24"/>
        </w:rPr>
      </w:pPr>
      <w:bookmarkStart w:id="623" w:name="_Toc192243578"/>
      <w:bookmarkEnd w:id="623"/>
      <w:bookmarkStart w:id="624" w:name="_Toc192253658"/>
      <w:bookmarkEnd w:id="624"/>
      <w:bookmarkStart w:id="625" w:name="_Toc192242605"/>
      <w:bookmarkEnd w:id="625"/>
      <w:bookmarkStart w:id="626" w:name="_Toc192243585"/>
      <w:bookmarkEnd w:id="626"/>
      <w:bookmarkStart w:id="627" w:name="_Toc192253650"/>
      <w:bookmarkEnd w:id="627"/>
      <w:bookmarkStart w:id="628" w:name="_Toc192244327"/>
      <w:bookmarkEnd w:id="628"/>
      <w:bookmarkStart w:id="629" w:name="_Toc192244331"/>
      <w:bookmarkEnd w:id="629"/>
      <w:bookmarkStart w:id="630" w:name="_Toc192253662"/>
      <w:bookmarkEnd w:id="630"/>
      <w:bookmarkStart w:id="631" w:name="_Toc192242600"/>
      <w:bookmarkEnd w:id="631"/>
      <w:bookmarkStart w:id="632" w:name="_Toc192244332"/>
      <w:bookmarkEnd w:id="632"/>
      <w:bookmarkStart w:id="633" w:name="_Toc192242603"/>
      <w:bookmarkEnd w:id="633"/>
      <w:bookmarkStart w:id="634" w:name="_Toc192253661"/>
      <w:bookmarkEnd w:id="634"/>
      <w:bookmarkStart w:id="635" w:name="_Toc192253660"/>
      <w:bookmarkEnd w:id="635"/>
      <w:bookmarkStart w:id="636" w:name="_Toc192244323"/>
      <w:bookmarkEnd w:id="636"/>
      <w:bookmarkStart w:id="637" w:name="_Toc192243583"/>
      <w:bookmarkEnd w:id="637"/>
      <w:bookmarkStart w:id="638" w:name="_Toc192244335"/>
      <w:bookmarkEnd w:id="638"/>
      <w:bookmarkStart w:id="639" w:name="_Toc192243580"/>
      <w:bookmarkEnd w:id="639"/>
      <w:bookmarkStart w:id="640" w:name="_Toc192244333"/>
      <w:bookmarkEnd w:id="640"/>
      <w:bookmarkStart w:id="641" w:name="_Toc192243589"/>
      <w:bookmarkEnd w:id="641"/>
      <w:bookmarkStart w:id="642" w:name="_Toc192243586"/>
      <w:bookmarkEnd w:id="642"/>
      <w:bookmarkStart w:id="643" w:name="_Toc192244325"/>
      <w:bookmarkEnd w:id="643"/>
      <w:bookmarkStart w:id="644" w:name="_Toc192244322"/>
      <w:bookmarkEnd w:id="644"/>
      <w:bookmarkStart w:id="645" w:name="_Toc192253653"/>
      <w:bookmarkEnd w:id="645"/>
      <w:bookmarkStart w:id="646" w:name="_Toc192253657"/>
      <w:bookmarkEnd w:id="646"/>
      <w:bookmarkStart w:id="647" w:name="_Toc192244329"/>
      <w:bookmarkEnd w:id="647"/>
      <w:bookmarkStart w:id="648" w:name="_Toc192253659"/>
      <w:bookmarkEnd w:id="648"/>
      <w:bookmarkStart w:id="649" w:name="_Toc192244326"/>
      <w:bookmarkEnd w:id="649"/>
      <w:bookmarkStart w:id="650" w:name="_Toc192242595"/>
      <w:bookmarkEnd w:id="650"/>
      <w:bookmarkStart w:id="651" w:name="_Toc192243584"/>
      <w:bookmarkEnd w:id="651"/>
      <w:bookmarkStart w:id="652" w:name="_Toc192253655"/>
      <w:bookmarkEnd w:id="652"/>
      <w:bookmarkStart w:id="653" w:name="_Toc192242597"/>
      <w:bookmarkEnd w:id="653"/>
      <w:bookmarkStart w:id="654" w:name="_Toc192253652"/>
      <w:bookmarkEnd w:id="654"/>
      <w:bookmarkStart w:id="655" w:name="_Toc192242604"/>
      <w:bookmarkEnd w:id="655"/>
      <w:bookmarkStart w:id="656" w:name="_Toc192242606"/>
      <w:bookmarkEnd w:id="656"/>
      <w:bookmarkStart w:id="657" w:name="_Toc192243590"/>
      <w:bookmarkEnd w:id="657"/>
      <w:bookmarkStart w:id="658" w:name="_Toc192253656"/>
      <w:bookmarkEnd w:id="658"/>
      <w:bookmarkStart w:id="659" w:name="_Toc192244330"/>
      <w:bookmarkEnd w:id="659"/>
      <w:bookmarkStart w:id="660" w:name="_Toc192242598"/>
      <w:bookmarkEnd w:id="660"/>
      <w:bookmarkStart w:id="661" w:name="_Toc192242594"/>
      <w:bookmarkEnd w:id="661"/>
      <w:bookmarkStart w:id="662" w:name="_Toc192253649"/>
      <w:bookmarkEnd w:id="662"/>
      <w:bookmarkStart w:id="663" w:name="_Toc192243582"/>
      <w:bookmarkEnd w:id="663"/>
      <w:bookmarkStart w:id="664" w:name="_Toc192244328"/>
      <w:bookmarkEnd w:id="664"/>
      <w:bookmarkStart w:id="665" w:name="_Toc192242601"/>
      <w:bookmarkEnd w:id="665"/>
      <w:bookmarkStart w:id="666" w:name="_Toc192243587"/>
      <w:bookmarkEnd w:id="666"/>
      <w:bookmarkStart w:id="667" w:name="_Toc192253651"/>
      <w:bookmarkEnd w:id="667"/>
      <w:bookmarkStart w:id="668" w:name="_Toc192242599"/>
      <w:bookmarkEnd w:id="668"/>
      <w:bookmarkStart w:id="669" w:name="_Toc192243577"/>
      <w:bookmarkEnd w:id="669"/>
      <w:bookmarkStart w:id="670" w:name="_Toc192242602"/>
      <w:bookmarkEnd w:id="670"/>
      <w:bookmarkStart w:id="671" w:name="_Toc192243581"/>
      <w:bookmarkEnd w:id="671"/>
      <w:bookmarkStart w:id="672" w:name="_Toc192244334"/>
      <w:bookmarkEnd w:id="672"/>
      <w:bookmarkStart w:id="673" w:name="_Toc192253654"/>
      <w:bookmarkEnd w:id="673"/>
      <w:bookmarkStart w:id="674" w:name="_Toc192243579"/>
      <w:bookmarkEnd w:id="674"/>
      <w:bookmarkStart w:id="675" w:name="_Toc192244324"/>
      <w:bookmarkEnd w:id="675"/>
      <w:bookmarkStart w:id="676" w:name="_Toc192242596"/>
      <w:bookmarkEnd w:id="676"/>
      <w:bookmarkStart w:id="677" w:name="_Toc192243588"/>
      <w:bookmarkEnd w:id="677"/>
      <w:bookmarkStart w:id="678" w:name="_Toc192242607"/>
      <w:bookmarkEnd w:id="678"/>
      <w:r>
        <w:rPr>
          <w:rFonts w:ascii="Times New Roman" w:hAnsi="Times New Roman"/>
          <w:b/>
          <w:bCs/>
          <w:szCs w:val="24"/>
        </w:rPr>
        <w:t>8.5</w:t>
      </w:r>
      <w:r>
        <w:rPr>
          <w:rFonts w:ascii="Times New Roman" w:hAnsi="Times New Roman"/>
          <w:b/>
          <w:bCs/>
          <w:szCs w:val="24"/>
        </w:rPr>
        <w:tab/>
      </w:r>
      <w:r>
        <w:rPr>
          <w:rFonts w:ascii="Times New Roman" w:hAnsi="Times New Roman"/>
          <w:b/>
          <w:bCs/>
          <w:szCs w:val="24"/>
        </w:rPr>
        <w:t>Managing Contractor Environmental and Social Performance.</w:t>
      </w:r>
    </w:p>
    <w:p w14:paraId="4117B9C9">
      <w:pPr>
        <w:spacing w:line="240" w:lineRule="auto"/>
        <w:jc w:val="both"/>
        <w:rPr>
          <w:rFonts w:ascii="Times New Roman" w:hAnsi="Times New Roman"/>
          <w:szCs w:val="24"/>
        </w:rPr>
      </w:pPr>
      <w:r>
        <w:rPr>
          <w:rFonts w:ascii="Times New Roman" w:hAnsi="Times New Roman"/>
          <w:szCs w:val="24"/>
        </w:rPr>
        <w:t xml:space="preserve">Ultimately the WSP will be responsible for meeting project Environmental and Social requirements. It will ensure that the contractors employ qualified E&amp;S personnel and that staffing is commensurate with scope and magnitude of work and Environmental and Social risks. The WSP will approve the training, and the monitoring programs and will determine the frequency of the Environmental and Social and ensure that data is shared between the partied involved in the project. </w:t>
      </w:r>
    </w:p>
    <w:p w14:paraId="463F3D98">
      <w:pPr>
        <w:spacing w:line="240" w:lineRule="auto"/>
        <w:jc w:val="both"/>
        <w:rPr>
          <w:rFonts w:ascii="Times New Roman" w:hAnsi="Times New Roman"/>
          <w:szCs w:val="24"/>
        </w:rPr>
      </w:pPr>
      <w:r>
        <w:rPr>
          <w:rFonts w:ascii="Times New Roman" w:hAnsi="Times New Roman"/>
          <w:szCs w:val="24"/>
        </w:rPr>
        <w:t>To ensure the effective implementation of the ESMP, it is recommended that the contractor’s personnel include a qualified Environmental Health &amp; Safety Officer, Site Safety and Health Officer and a sociologist</w:t>
      </w:r>
    </w:p>
    <w:p w14:paraId="032AC770">
      <w:pPr>
        <w:spacing w:after="0" w:line="240" w:lineRule="auto"/>
        <w:jc w:val="both"/>
        <w:rPr>
          <w:rFonts w:ascii="Times New Roman" w:hAnsi="Times New Roman"/>
          <w:b/>
          <w:bCs/>
          <w:szCs w:val="24"/>
        </w:rPr>
      </w:pPr>
      <w:r>
        <w:rPr>
          <w:rFonts w:ascii="Times New Roman" w:hAnsi="Times New Roman"/>
          <w:b/>
          <w:bCs/>
          <w:szCs w:val="24"/>
        </w:rPr>
        <w:t>8.6</w:t>
      </w:r>
      <w:r>
        <w:rPr>
          <w:rFonts w:ascii="Times New Roman" w:hAnsi="Times New Roman"/>
          <w:b/>
          <w:bCs/>
          <w:szCs w:val="24"/>
        </w:rPr>
        <w:tab/>
      </w:r>
      <w:r>
        <w:rPr>
          <w:rFonts w:ascii="Times New Roman" w:hAnsi="Times New Roman"/>
          <w:b/>
          <w:bCs/>
          <w:szCs w:val="24"/>
        </w:rPr>
        <w:t>ESMP Supervision</w:t>
      </w:r>
    </w:p>
    <w:p w14:paraId="1B31D7A6">
      <w:pPr>
        <w:spacing w:after="0" w:line="240" w:lineRule="auto"/>
        <w:jc w:val="both"/>
        <w:rPr>
          <w:rFonts w:ascii="Times New Roman" w:hAnsi="Times New Roman"/>
          <w:szCs w:val="24"/>
          <w:lang w:val="en-US"/>
        </w:rPr>
      </w:pPr>
      <w:r>
        <w:rPr>
          <w:rFonts w:ascii="Times New Roman" w:hAnsi="Times New Roman"/>
          <w:szCs w:val="24"/>
          <w:lang w:val="en-US"/>
        </w:rPr>
        <w:t xml:space="preserve">The main institutions implementing the ESMP will be the resident engineer; the local administration, the WSP-(KIMAWASCO) and the contractor. </w:t>
      </w:r>
    </w:p>
    <w:p w14:paraId="622ACB7B">
      <w:pPr>
        <w:spacing w:line="240" w:lineRule="auto"/>
        <w:jc w:val="both"/>
        <w:rPr>
          <w:rFonts w:ascii="Times New Roman" w:hAnsi="Times New Roman"/>
          <w:szCs w:val="24"/>
        </w:rPr>
      </w:pPr>
      <w:r>
        <w:rPr>
          <w:rFonts w:ascii="Times New Roman" w:hAnsi="Times New Roman"/>
          <w:szCs w:val="24"/>
          <w:lang w:val="en-US"/>
        </w:rPr>
        <w:t>Their valuable feedback in conjunction with various county government departments as well as the local administration is proof that they have adequate capacity to not only handle the ESMP but also the project.</w:t>
      </w:r>
    </w:p>
    <w:p w14:paraId="1ECD05CD">
      <w:pPr>
        <w:spacing w:line="240" w:lineRule="auto"/>
        <w:rPr>
          <w:rFonts w:ascii="Times New Roman" w:hAnsi="Times New Roman"/>
          <w:szCs w:val="24"/>
        </w:rPr>
        <w:sectPr>
          <w:pgSz w:w="11906" w:h="16838"/>
          <w:pgMar w:top="1440" w:right="1440" w:bottom="1440" w:left="1440" w:header="720" w:footer="720" w:gutter="0"/>
          <w:cols w:space="720" w:num="1"/>
          <w:docGrid w:linePitch="360" w:charSpace="0"/>
        </w:sectPr>
      </w:pPr>
      <w:bookmarkStart w:id="679" w:name="_Toc42767878"/>
      <w:bookmarkEnd w:id="679"/>
    </w:p>
    <w:p w14:paraId="3A645454">
      <w:pPr>
        <w:pStyle w:val="10"/>
        <w:rPr>
          <w:rFonts w:ascii="Times New Roman" w:hAnsi="Times New Roman"/>
          <w:color w:val="auto"/>
        </w:rPr>
      </w:pPr>
    </w:p>
    <w:p w14:paraId="3603DF9A">
      <w:pPr>
        <w:pStyle w:val="10"/>
        <w:keepNext/>
        <w:rPr>
          <w:rFonts w:ascii="Times New Roman" w:hAnsi="Times New Roman"/>
          <w:b/>
          <w:bCs/>
          <w:color w:val="auto"/>
        </w:rPr>
      </w:pPr>
      <w:bookmarkStart w:id="680" w:name="_Toc224740303"/>
      <w:r>
        <w:rPr>
          <w:rFonts w:ascii="Times New Roman" w:hAnsi="Times New Roman"/>
          <w:b/>
          <w:bCs/>
          <w:color w:val="auto"/>
        </w:rPr>
        <w:t xml:space="preserve">Table </w:t>
      </w:r>
      <w:r>
        <w:rPr>
          <w:rFonts w:ascii="Times New Roman" w:hAnsi="Times New Roman"/>
          <w:b/>
          <w:bCs/>
          <w:color w:val="auto"/>
        </w:rPr>
        <w:fldChar w:fldCharType="begin"/>
      </w:r>
      <w:r>
        <w:rPr>
          <w:rFonts w:ascii="Times New Roman" w:hAnsi="Times New Roman"/>
          <w:b/>
          <w:bCs/>
          <w:color w:val="auto"/>
        </w:rPr>
        <w:instrText xml:space="preserve"> SEQ Table \* ARABIC </w:instrText>
      </w:r>
      <w:r>
        <w:rPr>
          <w:rFonts w:ascii="Times New Roman" w:hAnsi="Times New Roman"/>
          <w:b/>
          <w:bCs/>
          <w:color w:val="auto"/>
        </w:rPr>
        <w:fldChar w:fldCharType="separate"/>
      </w:r>
      <w:r>
        <w:rPr>
          <w:rFonts w:ascii="Times New Roman" w:hAnsi="Times New Roman"/>
          <w:b/>
          <w:bCs/>
          <w:color w:val="auto"/>
        </w:rPr>
        <w:t>8</w:t>
      </w:r>
      <w:r>
        <w:rPr>
          <w:rFonts w:ascii="Times New Roman" w:hAnsi="Times New Roman"/>
          <w:b/>
          <w:bCs/>
          <w:color w:val="auto"/>
        </w:rPr>
        <w:fldChar w:fldCharType="end"/>
      </w:r>
      <w:bookmarkStart w:id="681" w:name="_Toc9577"/>
      <w:r>
        <w:rPr>
          <w:rFonts w:ascii="Times New Roman" w:hAnsi="Times New Roman"/>
          <w:b/>
          <w:bCs/>
          <w:color w:val="auto"/>
        </w:rPr>
        <w:t>:  : The Proposed Environmental and Social Management Plan (ESMP)</w:t>
      </w:r>
      <w:bookmarkEnd w:id="680"/>
      <w:bookmarkEnd w:id="681"/>
    </w:p>
    <w:tbl>
      <w:tblPr>
        <w:tblStyle w:val="7"/>
        <w:tblW w:w="15379"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701"/>
        <w:gridCol w:w="7654"/>
        <w:gridCol w:w="1701"/>
        <w:gridCol w:w="2763"/>
      </w:tblGrid>
      <w:tr w14:paraId="60D9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60" w:type="dxa"/>
            <w:shd w:val="clear" w:color="auto" w:fill="F1F1F1"/>
          </w:tcPr>
          <w:p w14:paraId="4DA5DC8E">
            <w:pPr>
              <w:spacing w:line="240" w:lineRule="auto"/>
              <w:jc w:val="both"/>
              <w:rPr>
                <w:rFonts w:ascii="Times New Roman" w:hAnsi="Times New Roman"/>
                <w:b/>
                <w:szCs w:val="24"/>
                <w:lang w:val="en-US"/>
              </w:rPr>
            </w:pPr>
            <w:bookmarkStart w:id="682" w:name="_Hlk190337767"/>
            <w:r>
              <w:rPr>
                <w:rFonts w:ascii="Times New Roman" w:hAnsi="Times New Roman"/>
                <w:b/>
                <w:szCs w:val="24"/>
                <w:lang w:val="en-US"/>
              </w:rPr>
              <w:t>Project Phase</w:t>
            </w:r>
          </w:p>
        </w:tc>
        <w:tc>
          <w:tcPr>
            <w:tcW w:w="1701" w:type="dxa"/>
            <w:shd w:val="clear" w:color="auto" w:fill="F1F1F1"/>
            <w:vAlign w:val="center"/>
          </w:tcPr>
          <w:p w14:paraId="6F0B039B">
            <w:pPr>
              <w:spacing w:line="240" w:lineRule="auto"/>
              <w:jc w:val="both"/>
              <w:rPr>
                <w:rFonts w:ascii="Times New Roman" w:hAnsi="Times New Roman"/>
                <w:b/>
                <w:szCs w:val="24"/>
                <w:lang w:val="en-US"/>
              </w:rPr>
            </w:pPr>
            <w:r>
              <w:rPr>
                <w:rFonts w:ascii="Times New Roman" w:hAnsi="Times New Roman"/>
                <w:b/>
                <w:szCs w:val="24"/>
                <w:lang w:val="en-US"/>
              </w:rPr>
              <w:t>Environmental / Social Impact</w:t>
            </w:r>
          </w:p>
        </w:tc>
        <w:tc>
          <w:tcPr>
            <w:tcW w:w="7654" w:type="dxa"/>
            <w:shd w:val="clear" w:color="auto" w:fill="F1F1F1"/>
            <w:vAlign w:val="center"/>
          </w:tcPr>
          <w:p w14:paraId="14965137">
            <w:pPr>
              <w:spacing w:line="240" w:lineRule="auto"/>
              <w:jc w:val="both"/>
              <w:rPr>
                <w:rFonts w:ascii="Times New Roman" w:hAnsi="Times New Roman"/>
                <w:b/>
                <w:szCs w:val="24"/>
                <w:lang w:val="en-US"/>
              </w:rPr>
            </w:pPr>
            <w:r>
              <w:rPr>
                <w:rFonts w:ascii="Times New Roman" w:hAnsi="Times New Roman"/>
                <w:b/>
                <w:szCs w:val="24"/>
                <w:lang w:val="en-US"/>
              </w:rPr>
              <w:t>Mitigation Measure</w:t>
            </w:r>
          </w:p>
        </w:tc>
        <w:tc>
          <w:tcPr>
            <w:tcW w:w="1701" w:type="dxa"/>
            <w:shd w:val="clear" w:color="auto" w:fill="F1F1F1"/>
            <w:vAlign w:val="center"/>
          </w:tcPr>
          <w:p w14:paraId="65B660DA">
            <w:pPr>
              <w:spacing w:line="240" w:lineRule="auto"/>
              <w:jc w:val="both"/>
              <w:rPr>
                <w:rFonts w:ascii="Times New Roman" w:hAnsi="Times New Roman"/>
                <w:b/>
                <w:szCs w:val="24"/>
                <w:lang w:val="en-US"/>
              </w:rPr>
            </w:pPr>
            <w:r>
              <w:rPr>
                <w:rFonts w:ascii="Times New Roman" w:hAnsi="Times New Roman"/>
                <w:b/>
                <w:szCs w:val="24"/>
                <w:lang w:val="en-US"/>
              </w:rPr>
              <w:t>Responsibility</w:t>
            </w:r>
          </w:p>
        </w:tc>
        <w:tc>
          <w:tcPr>
            <w:tcW w:w="2763" w:type="dxa"/>
            <w:shd w:val="clear" w:color="auto" w:fill="F1F1F1"/>
          </w:tcPr>
          <w:p w14:paraId="20AE7C0A">
            <w:pPr>
              <w:spacing w:line="240" w:lineRule="auto"/>
              <w:jc w:val="both"/>
              <w:rPr>
                <w:rFonts w:ascii="Times New Roman" w:hAnsi="Times New Roman"/>
                <w:b/>
                <w:szCs w:val="24"/>
                <w:lang w:val="en-US"/>
              </w:rPr>
            </w:pPr>
            <w:r>
              <w:rPr>
                <w:rFonts w:ascii="Times New Roman" w:hAnsi="Times New Roman"/>
                <w:b/>
                <w:szCs w:val="24"/>
                <w:lang w:val="en-US"/>
              </w:rPr>
              <w:t>Cost (KShs.)</w:t>
            </w:r>
          </w:p>
        </w:tc>
      </w:tr>
      <w:tr w14:paraId="03CE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C818261">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5F736B06">
            <w:pPr>
              <w:spacing w:line="240" w:lineRule="auto"/>
              <w:jc w:val="both"/>
              <w:rPr>
                <w:rFonts w:ascii="Times New Roman" w:hAnsi="Times New Roman"/>
                <w:szCs w:val="24"/>
                <w:lang w:val="en-US"/>
              </w:rPr>
            </w:pPr>
            <w:r>
              <w:rPr>
                <w:rFonts w:ascii="Times New Roman" w:hAnsi="Times New Roman"/>
                <w:szCs w:val="24"/>
                <w:lang w:val="en-US"/>
              </w:rPr>
              <w:t>Ambient air quality</w:t>
            </w:r>
          </w:p>
        </w:tc>
        <w:tc>
          <w:tcPr>
            <w:tcW w:w="7654" w:type="dxa"/>
          </w:tcPr>
          <w:p w14:paraId="69DDB053">
            <w:pPr>
              <w:pStyle w:val="32"/>
              <w:numPr>
                <w:ilvl w:val="0"/>
                <w:numId w:val="70"/>
              </w:numPr>
              <w:spacing w:line="240" w:lineRule="auto"/>
              <w:jc w:val="both"/>
              <w:rPr>
                <w:rFonts w:ascii="Times New Roman" w:hAnsi="Times New Roman"/>
                <w:szCs w:val="24"/>
              </w:rPr>
            </w:pPr>
            <w:r>
              <w:rPr>
                <w:rFonts w:ascii="Times New Roman" w:hAnsi="Times New Roman"/>
                <w:szCs w:val="24"/>
              </w:rPr>
              <w:t>Use Respiratory Protective Equipment (RPE) like masks on construction crew and all visitors to the site.</w:t>
            </w:r>
          </w:p>
          <w:p w14:paraId="78C2569C">
            <w:pPr>
              <w:pStyle w:val="32"/>
              <w:numPr>
                <w:ilvl w:val="0"/>
                <w:numId w:val="70"/>
              </w:numPr>
              <w:spacing w:line="240" w:lineRule="auto"/>
              <w:jc w:val="both"/>
              <w:rPr>
                <w:rFonts w:ascii="Times New Roman" w:hAnsi="Times New Roman"/>
                <w:szCs w:val="24"/>
              </w:rPr>
            </w:pPr>
            <w:r>
              <w:rPr>
                <w:rFonts w:ascii="Times New Roman" w:hAnsi="Times New Roman"/>
                <w:szCs w:val="24"/>
              </w:rPr>
              <w:t>Use equipment fitted with water suppression to minimize the amount of dust.</w:t>
            </w:r>
          </w:p>
          <w:p w14:paraId="5281A58B">
            <w:pPr>
              <w:pStyle w:val="32"/>
              <w:numPr>
                <w:ilvl w:val="0"/>
                <w:numId w:val="70"/>
              </w:numPr>
              <w:spacing w:line="240" w:lineRule="auto"/>
              <w:jc w:val="both"/>
              <w:rPr>
                <w:rFonts w:ascii="Times New Roman" w:hAnsi="Times New Roman"/>
                <w:szCs w:val="24"/>
              </w:rPr>
            </w:pPr>
            <w:r>
              <w:rPr>
                <w:rFonts w:ascii="Times New Roman" w:hAnsi="Times New Roman"/>
                <w:szCs w:val="24"/>
              </w:rPr>
              <w:t>Drivers should be instructed on the benefits of driving practices that reduce both the risk of accidents and fuel consumption, including measured acceleration and driving within safe speed limits;</w:t>
            </w:r>
          </w:p>
          <w:p w14:paraId="52B89D89">
            <w:pPr>
              <w:pStyle w:val="32"/>
              <w:numPr>
                <w:ilvl w:val="0"/>
                <w:numId w:val="70"/>
              </w:numPr>
              <w:spacing w:line="240" w:lineRule="auto"/>
              <w:jc w:val="both"/>
              <w:rPr>
                <w:rFonts w:ascii="Times New Roman" w:hAnsi="Times New Roman"/>
                <w:szCs w:val="24"/>
              </w:rPr>
            </w:pPr>
            <w:r>
              <w:rPr>
                <w:rFonts w:ascii="Times New Roman" w:hAnsi="Times New Roman"/>
                <w:szCs w:val="24"/>
              </w:rPr>
              <w:t>Vehicles and construction machinery to be properly maintained and to comply with relevant emission standards.</w:t>
            </w:r>
          </w:p>
          <w:p w14:paraId="0F807B05">
            <w:pPr>
              <w:pStyle w:val="32"/>
              <w:numPr>
                <w:ilvl w:val="0"/>
                <w:numId w:val="70"/>
              </w:numPr>
              <w:spacing w:line="240" w:lineRule="auto"/>
              <w:jc w:val="both"/>
              <w:rPr>
                <w:rFonts w:ascii="Times New Roman" w:hAnsi="Times New Roman"/>
                <w:szCs w:val="24"/>
              </w:rPr>
            </w:pPr>
            <w:r>
              <w:rPr>
                <w:rFonts w:ascii="Times New Roman" w:hAnsi="Times New Roman"/>
                <w:szCs w:val="24"/>
              </w:rPr>
              <w:t>All waste must be transported off- site for processing, not burnt or stored for any longer than is absolutely necessary.</w:t>
            </w:r>
          </w:p>
        </w:tc>
        <w:tc>
          <w:tcPr>
            <w:tcW w:w="1701" w:type="dxa"/>
          </w:tcPr>
          <w:p w14:paraId="4EFC3805">
            <w:pPr>
              <w:spacing w:line="240" w:lineRule="auto"/>
              <w:jc w:val="both"/>
              <w:rPr>
                <w:rFonts w:ascii="Times New Roman" w:hAnsi="Times New Roman"/>
                <w:szCs w:val="24"/>
                <w:lang w:val="en-US"/>
              </w:rPr>
            </w:pPr>
            <w:r>
              <w:rPr>
                <w:rFonts w:ascii="Times New Roman" w:hAnsi="Times New Roman"/>
                <w:szCs w:val="24"/>
                <w:lang w:val="en-US"/>
              </w:rPr>
              <w:t xml:space="preserve">Contractor </w:t>
            </w:r>
          </w:p>
          <w:p w14:paraId="3CFE036A">
            <w:pPr>
              <w:spacing w:line="240" w:lineRule="auto"/>
              <w:jc w:val="both"/>
              <w:rPr>
                <w:rFonts w:ascii="Times New Roman" w:hAnsi="Times New Roman"/>
                <w:szCs w:val="24"/>
                <w:lang w:val="en-US"/>
              </w:rPr>
            </w:pPr>
            <w:r>
              <w:rPr>
                <w:rFonts w:ascii="Times New Roman" w:hAnsi="Times New Roman"/>
                <w:szCs w:val="24"/>
                <w:lang w:val="en-US"/>
              </w:rPr>
              <w:t>Resident Engineer</w:t>
            </w:r>
          </w:p>
          <w:p w14:paraId="77D5CD0D">
            <w:pPr>
              <w:spacing w:line="240" w:lineRule="auto"/>
              <w:jc w:val="both"/>
              <w:rPr>
                <w:rFonts w:ascii="Times New Roman" w:hAnsi="Times New Roman"/>
                <w:szCs w:val="24"/>
                <w:lang w:val="en-US"/>
              </w:rPr>
            </w:pPr>
          </w:p>
        </w:tc>
        <w:tc>
          <w:tcPr>
            <w:tcW w:w="2763" w:type="dxa"/>
          </w:tcPr>
          <w:p w14:paraId="602859DE">
            <w:pPr>
              <w:numPr>
                <w:ilvl w:val="0"/>
                <w:numId w:val="71"/>
              </w:numPr>
              <w:spacing w:line="240" w:lineRule="auto"/>
              <w:jc w:val="both"/>
              <w:rPr>
                <w:rFonts w:ascii="Times New Roman" w:hAnsi="Times New Roman"/>
                <w:szCs w:val="24"/>
              </w:rPr>
            </w:pPr>
            <w:r>
              <w:rPr>
                <w:rFonts w:ascii="Times New Roman" w:hAnsi="Times New Roman"/>
                <w:b/>
                <w:szCs w:val="24"/>
              </w:rPr>
              <w:t>Kshs.5,000</w:t>
            </w:r>
            <w:r>
              <w:rPr>
                <w:rFonts w:ascii="Times New Roman" w:hAnsi="Times New Roman"/>
                <w:szCs w:val="24"/>
              </w:rPr>
              <w:t xml:space="preserve">  to cater for dust masks for the whole project period for the site users. </w:t>
            </w:r>
          </w:p>
          <w:p w14:paraId="070C7417">
            <w:pPr>
              <w:numPr>
                <w:ilvl w:val="0"/>
                <w:numId w:val="71"/>
              </w:numPr>
              <w:spacing w:line="240" w:lineRule="auto"/>
              <w:jc w:val="both"/>
              <w:rPr>
                <w:rFonts w:ascii="Times New Roman" w:hAnsi="Times New Roman"/>
                <w:szCs w:val="24"/>
              </w:rPr>
            </w:pPr>
            <w:r>
              <w:rPr>
                <w:rFonts w:ascii="Times New Roman" w:hAnsi="Times New Roman"/>
                <w:szCs w:val="24"/>
              </w:rPr>
              <w:t xml:space="preserve">Kshs </w:t>
            </w:r>
            <w:r>
              <w:rPr>
                <w:rFonts w:ascii="Times New Roman" w:hAnsi="Times New Roman"/>
                <w:b/>
                <w:bCs/>
                <w:szCs w:val="24"/>
              </w:rPr>
              <w:t>12,400</w:t>
            </w:r>
            <w:r>
              <w:rPr>
                <w:rFonts w:ascii="Times New Roman" w:hAnsi="Times New Roman"/>
                <w:szCs w:val="24"/>
              </w:rPr>
              <w:t xml:space="preserve"> for spraying water on the land and excavated surfaces for dust control</w:t>
            </w:r>
          </w:p>
        </w:tc>
      </w:tr>
      <w:tr w14:paraId="1260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D54D225">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5A0EA6AA">
            <w:pPr>
              <w:spacing w:line="240" w:lineRule="auto"/>
              <w:jc w:val="both"/>
              <w:rPr>
                <w:rFonts w:ascii="Times New Roman" w:hAnsi="Times New Roman"/>
                <w:szCs w:val="24"/>
                <w:lang w:val="en-US"/>
              </w:rPr>
            </w:pPr>
            <w:r>
              <w:rPr>
                <w:rFonts w:ascii="Times New Roman" w:hAnsi="Times New Roman"/>
                <w:szCs w:val="24"/>
                <w:lang w:val="en-US"/>
              </w:rPr>
              <w:t>Site Related Oil Spills</w:t>
            </w:r>
          </w:p>
        </w:tc>
        <w:tc>
          <w:tcPr>
            <w:tcW w:w="7654" w:type="dxa"/>
          </w:tcPr>
          <w:p w14:paraId="7F1C9DB2">
            <w:pPr>
              <w:pStyle w:val="32"/>
              <w:numPr>
                <w:ilvl w:val="0"/>
                <w:numId w:val="72"/>
              </w:numPr>
              <w:spacing w:line="240" w:lineRule="auto"/>
              <w:jc w:val="both"/>
              <w:rPr>
                <w:rFonts w:ascii="Times New Roman" w:hAnsi="Times New Roman"/>
                <w:szCs w:val="24"/>
              </w:rPr>
            </w:pPr>
            <w:r>
              <w:rPr>
                <w:rFonts w:ascii="Times New Roman" w:hAnsi="Times New Roman"/>
                <w:szCs w:val="24"/>
              </w:rPr>
              <w:t xml:space="preserve">The Contractor should ensure that the employees on site are aware of the company procedures for dealing with spills and leaks e.g., using dispersants or adding biological agents to speed up the oil breakdown for the construction machinery though induction and safety training (the contractor will propose a method of clean-up which will be subject to approval); </w:t>
            </w:r>
          </w:p>
          <w:p w14:paraId="07DAC2FC">
            <w:pPr>
              <w:pStyle w:val="32"/>
              <w:numPr>
                <w:ilvl w:val="0"/>
                <w:numId w:val="72"/>
              </w:numPr>
              <w:spacing w:line="240" w:lineRule="auto"/>
              <w:jc w:val="both"/>
              <w:rPr>
                <w:rFonts w:ascii="Times New Roman" w:hAnsi="Times New Roman"/>
                <w:szCs w:val="24"/>
              </w:rPr>
            </w:pPr>
            <w:r>
              <w:rPr>
                <w:rFonts w:ascii="Times New Roman" w:hAnsi="Times New Roman"/>
                <w:szCs w:val="24"/>
              </w:rPr>
              <w:t>All vehicles and equipment should be kept in good working order, serviced regularly in accordance to the manufacturers specifications and stored in an area approved by the Resident Engineer/Supervising Consultant;</w:t>
            </w:r>
          </w:p>
        </w:tc>
        <w:tc>
          <w:tcPr>
            <w:tcW w:w="1701" w:type="dxa"/>
          </w:tcPr>
          <w:p w14:paraId="6E76E0D6">
            <w:pPr>
              <w:spacing w:line="240" w:lineRule="auto"/>
              <w:jc w:val="both"/>
              <w:rPr>
                <w:rFonts w:ascii="Times New Roman" w:hAnsi="Times New Roman"/>
                <w:szCs w:val="24"/>
                <w:lang w:val="en-US"/>
              </w:rPr>
            </w:pPr>
            <w:r>
              <w:rPr>
                <w:rFonts w:ascii="Times New Roman" w:hAnsi="Times New Roman"/>
                <w:szCs w:val="24"/>
                <w:lang w:val="en-US"/>
              </w:rPr>
              <w:t>Contractor</w:t>
            </w:r>
          </w:p>
          <w:p w14:paraId="619C60C9">
            <w:pPr>
              <w:spacing w:line="240" w:lineRule="auto"/>
              <w:jc w:val="both"/>
              <w:rPr>
                <w:rFonts w:ascii="Times New Roman" w:hAnsi="Times New Roman"/>
                <w:szCs w:val="24"/>
                <w:lang w:val="en-US"/>
              </w:rPr>
            </w:pPr>
            <w:r>
              <w:rPr>
                <w:rFonts w:ascii="Times New Roman" w:hAnsi="Times New Roman"/>
                <w:szCs w:val="24"/>
                <w:lang w:val="en-US"/>
              </w:rPr>
              <w:t>Resident Engineer</w:t>
            </w:r>
          </w:p>
        </w:tc>
        <w:tc>
          <w:tcPr>
            <w:tcW w:w="2763" w:type="dxa"/>
          </w:tcPr>
          <w:p w14:paraId="4739E05A">
            <w:pPr>
              <w:spacing w:line="240" w:lineRule="auto"/>
              <w:jc w:val="both"/>
              <w:rPr>
                <w:rFonts w:ascii="Times New Roman" w:hAnsi="Times New Roman"/>
                <w:szCs w:val="24"/>
                <w:lang w:val="en-US"/>
              </w:rPr>
            </w:pPr>
            <w:r>
              <w:rPr>
                <w:rFonts w:ascii="Times New Roman" w:hAnsi="Times New Roman"/>
                <w:b/>
                <w:bCs/>
                <w:szCs w:val="24"/>
                <w:lang w:val="en-US"/>
              </w:rPr>
              <w:t>Kshs. 45,850</w:t>
            </w:r>
            <w:r>
              <w:rPr>
                <w:rFonts w:ascii="Times New Roman" w:hAnsi="Times New Roman"/>
                <w:szCs w:val="24"/>
                <w:lang w:val="en-US"/>
              </w:rPr>
              <w:t xml:space="preserve"> to cater for the safety training seminars throughout the project for </w:t>
            </w:r>
            <w:r>
              <w:rPr>
                <w:rFonts w:ascii="Times New Roman" w:hAnsi="Times New Roman"/>
                <w:szCs w:val="24"/>
              </w:rPr>
              <w:t>this</w:t>
            </w:r>
            <w:r>
              <w:rPr>
                <w:rFonts w:ascii="Times New Roman" w:hAnsi="Times New Roman"/>
                <w:szCs w:val="24"/>
                <w:lang w:val="en-US"/>
              </w:rPr>
              <w:t xml:space="preserve"> site</w:t>
            </w:r>
          </w:p>
        </w:tc>
      </w:tr>
      <w:tr w14:paraId="426F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2FF9AAD">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42DDAC2C">
            <w:pPr>
              <w:spacing w:line="240" w:lineRule="auto"/>
              <w:jc w:val="both"/>
              <w:rPr>
                <w:rFonts w:ascii="Times New Roman" w:hAnsi="Times New Roman"/>
                <w:szCs w:val="24"/>
                <w:lang w:val="en-US"/>
              </w:rPr>
            </w:pPr>
            <w:r>
              <w:rPr>
                <w:rFonts w:ascii="Times New Roman" w:hAnsi="Times New Roman"/>
                <w:szCs w:val="24"/>
                <w:lang w:val="en-US"/>
              </w:rPr>
              <w:t>Soil Related Impacts</w:t>
            </w:r>
          </w:p>
        </w:tc>
        <w:tc>
          <w:tcPr>
            <w:tcW w:w="7654" w:type="dxa"/>
          </w:tcPr>
          <w:p w14:paraId="4D22FF35">
            <w:pPr>
              <w:pStyle w:val="32"/>
              <w:numPr>
                <w:ilvl w:val="0"/>
                <w:numId w:val="72"/>
              </w:numPr>
              <w:spacing w:line="240" w:lineRule="auto"/>
              <w:jc w:val="both"/>
              <w:rPr>
                <w:rFonts w:ascii="Times New Roman" w:hAnsi="Times New Roman"/>
                <w:szCs w:val="24"/>
              </w:rPr>
            </w:pPr>
            <w:r>
              <w:rPr>
                <w:rFonts w:ascii="Times New Roman" w:hAnsi="Times New Roman"/>
                <w:szCs w:val="24"/>
              </w:rPr>
              <w:t>The valuable top soil containing organic material, nutrients as well as seeds and the soil fauna should be excavated separately and piled in an adequate manner for re-use where applicable.</w:t>
            </w:r>
          </w:p>
          <w:p w14:paraId="52A56B52">
            <w:pPr>
              <w:pStyle w:val="32"/>
              <w:numPr>
                <w:ilvl w:val="0"/>
                <w:numId w:val="72"/>
              </w:numPr>
              <w:spacing w:line="240" w:lineRule="auto"/>
              <w:jc w:val="both"/>
              <w:rPr>
                <w:rFonts w:ascii="Times New Roman" w:hAnsi="Times New Roman"/>
                <w:szCs w:val="24"/>
              </w:rPr>
            </w:pPr>
            <w:r>
              <w:rPr>
                <w:rFonts w:ascii="Times New Roman" w:hAnsi="Times New Roman"/>
                <w:szCs w:val="24"/>
              </w:rPr>
              <w:t>Plan emergency response measures in case of accidental oil spills.</w:t>
            </w:r>
          </w:p>
        </w:tc>
        <w:tc>
          <w:tcPr>
            <w:tcW w:w="1701" w:type="dxa"/>
          </w:tcPr>
          <w:p w14:paraId="2F13052D">
            <w:pPr>
              <w:spacing w:line="240" w:lineRule="auto"/>
              <w:jc w:val="both"/>
              <w:rPr>
                <w:rFonts w:ascii="Times New Roman" w:hAnsi="Times New Roman"/>
                <w:szCs w:val="24"/>
                <w:lang w:val="en-US"/>
              </w:rPr>
            </w:pPr>
            <w:r>
              <w:rPr>
                <w:rFonts w:ascii="Times New Roman" w:hAnsi="Times New Roman"/>
                <w:szCs w:val="24"/>
                <w:lang w:val="en-US"/>
              </w:rPr>
              <w:t>Contractor</w:t>
            </w:r>
          </w:p>
          <w:p w14:paraId="07BA67C4">
            <w:pPr>
              <w:spacing w:line="240" w:lineRule="auto"/>
              <w:jc w:val="both"/>
              <w:rPr>
                <w:rFonts w:ascii="Times New Roman" w:hAnsi="Times New Roman"/>
                <w:szCs w:val="24"/>
                <w:lang w:val="en-US"/>
              </w:rPr>
            </w:pPr>
            <w:r>
              <w:rPr>
                <w:rFonts w:ascii="Times New Roman" w:hAnsi="Times New Roman"/>
                <w:szCs w:val="24"/>
                <w:lang w:val="en-US"/>
              </w:rPr>
              <w:t>Resident Engineers</w:t>
            </w:r>
          </w:p>
        </w:tc>
        <w:tc>
          <w:tcPr>
            <w:tcW w:w="2763" w:type="dxa"/>
          </w:tcPr>
          <w:p w14:paraId="152B8A92">
            <w:pPr>
              <w:spacing w:line="240" w:lineRule="auto"/>
              <w:jc w:val="both"/>
              <w:rPr>
                <w:rFonts w:ascii="Times New Roman" w:hAnsi="Times New Roman"/>
                <w:szCs w:val="24"/>
                <w:lang w:val="en-US"/>
              </w:rPr>
            </w:pPr>
            <w:r>
              <w:rPr>
                <w:rFonts w:ascii="Times New Roman" w:hAnsi="Times New Roman"/>
                <w:b/>
                <w:bCs/>
                <w:szCs w:val="24"/>
                <w:lang w:val="en-US"/>
              </w:rPr>
              <w:t>Kshs 12,500</w:t>
            </w:r>
            <w:r>
              <w:rPr>
                <w:rFonts w:ascii="Times New Roman" w:hAnsi="Times New Roman"/>
                <w:szCs w:val="24"/>
                <w:lang w:val="en-US"/>
              </w:rPr>
              <w:t xml:space="preserve"> to cater for accidental oil spills and tests on soil to ensure compliance</w:t>
            </w:r>
          </w:p>
        </w:tc>
      </w:tr>
      <w:tr w14:paraId="2B95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2E4D5AF">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2FE682E0">
            <w:pPr>
              <w:spacing w:line="240" w:lineRule="auto"/>
              <w:jc w:val="both"/>
              <w:rPr>
                <w:rFonts w:ascii="Times New Roman" w:hAnsi="Times New Roman"/>
                <w:szCs w:val="24"/>
                <w:lang w:val="en-US"/>
              </w:rPr>
            </w:pPr>
            <w:r>
              <w:rPr>
                <w:rFonts w:ascii="Times New Roman" w:hAnsi="Times New Roman"/>
                <w:szCs w:val="24"/>
                <w:lang w:val="en-US"/>
              </w:rPr>
              <w:t>Impacts on Water resources</w:t>
            </w:r>
          </w:p>
        </w:tc>
        <w:tc>
          <w:tcPr>
            <w:tcW w:w="7654" w:type="dxa"/>
          </w:tcPr>
          <w:p w14:paraId="39379F38">
            <w:pPr>
              <w:pStyle w:val="32"/>
              <w:numPr>
                <w:ilvl w:val="0"/>
                <w:numId w:val="73"/>
              </w:numPr>
              <w:spacing w:line="240" w:lineRule="auto"/>
              <w:jc w:val="both"/>
              <w:rPr>
                <w:rFonts w:ascii="Times New Roman" w:hAnsi="Times New Roman"/>
                <w:szCs w:val="24"/>
              </w:rPr>
            </w:pPr>
            <w:r>
              <w:rPr>
                <w:rFonts w:ascii="Times New Roman" w:hAnsi="Times New Roman"/>
                <w:szCs w:val="24"/>
              </w:rPr>
              <w:t>Ensure proper solid and liquid wastes disposal mainly from the construction camps, sites and offices.</w:t>
            </w:r>
          </w:p>
          <w:p w14:paraId="25E40B00">
            <w:pPr>
              <w:pStyle w:val="32"/>
              <w:numPr>
                <w:ilvl w:val="0"/>
                <w:numId w:val="73"/>
              </w:numPr>
              <w:spacing w:line="240" w:lineRule="auto"/>
              <w:jc w:val="both"/>
              <w:rPr>
                <w:rFonts w:ascii="Times New Roman" w:hAnsi="Times New Roman"/>
                <w:szCs w:val="24"/>
              </w:rPr>
            </w:pPr>
            <w:r>
              <w:rPr>
                <w:rFonts w:ascii="Times New Roman" w:hAnsi="Times New Roman"/>
                <w:szCs w:val="24"/>
              </w:rPr>
              <w:t>Ensure proper measures are in place for collection and disposal of spilled oils and lubricants.</w:t>
            </w:r>
          </w:p>
        </w:tc>
        <w:tc>
          <w:tcPr>
            <w:tcW w:w="1701" w:type="dxa"/>
          </w:tcPr>
          <w:p w14:paraId="3886C8CE">
            <w:pPr>
              <w:spacing w:after="0" w:line="240" w:lineRule="auto"/>
              <w:jc w:val="both"/>
              <w:rPr>
                <w:rFonts w:ascii="Times New Roman" w:hAnsi="Times New Roman"/>
                <w:szCs w:val="24"/>
                <w:lang w:val="en-US"/>
              </w:rPr>
            </w:pPr>
            <w:r>
              <w:rPr>
                <w:rFonts w:ascii="Times New Roman" w:hAnsi="Times New Roman"/>
                <w:szCs w:val="24"/>
                <w:lang w:val="en-US"/>
              </w:rPr>
              <w:t>Contractor,</w:t>
            </w:r>
          </w:p>
          <w:p w14:paraId="25D25D74">
            <w:pPr>
              <w:spacing w:after="0" w:line="240" w:lineRule="auto"/>
              <w:jc w:val="both"/>
              <w:rPr>
                <w:rFonts w:ascii="Times New Roman" w:hAnsi="Times New Roman"/>
                <w:szCs w:val="24"/>
                <w:lang w:val="en-US"/>
              </w:rPr>
            </w:pPr>
            <w:r>
              <w:rPr>
                <w:rFonts w:ascii="Times New Roman" w:hAnsi="Times New Roman"/>
                <w:szCs w:val="24"/>
                <w:lang w:val="en-US"/>
              </w:rPr>
              <w:t>Resident Engineer</w:t>
            </w:r>
          </w:p>
          <w:p w14:paraId="12580415">
            <w:pPr>
              <w:spacing w:after="0" w:line="240" w:lineRule="auto"/>
              <w:jc w:val="both"/>
              <w:rPr>
                <w:rFonts w:ascii="Times New Roman" w:hAnsi="Times New Roman"/>
                <w:szCs w:val="24"/>
                <w:lang w:val="en-US"/>
              </w:rPr>
            </w:pPr>
            <w:r>
              <w:rPr>
                <w:rFonts w:ascii="Times New Roman" w:hAnsi="Times New Roman"/>
                <w:szCs w:val="24"/>
                <w:lang w:val="en-US"/>
              </w:rPr>
              <w:t>County Water Officer</w:t>
            </w:r>
          </w:p>
        </w:tc>
        <w:tc>
          <w:tcPr>
            <w:tcW w:w="2763" w:type="dxa"/>
          </w:tcPr>
          <w:p w14:paraId="55A16468">
            <w:pPr>
              <w:spacing w:line="240" w:lineRule="auto"/>
              <w:jc w:val="both"/>
              <w:rPr>
                <w:rFonts w:ascii="Times New Roman" w:hAnsi="Times New Roman"/>
                <w:szCs w:val="24"/>
                <w:lang w:val="en-US"/>
              </w:rPr>
            </w:pPr>
            <w:r>
              <w:rPr>
                <w:rFonts w:ascii="Times New Roman" w:hAnsi="Times New Roman"/>
                <w:szCs w:val="24"/>
                <w:lang w:val="en-US"/>
              </w:rPr>
              <w:t xml:space="preserve">Costs included in solid and liquid waste management below. </w:t>
            </w:r>
          </w:p>
        </w:tc>
      </w:tr>
      <w:tr w14:paraId="11D9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D16AA12">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59874430">
            <w:pPr>
              <w:spacing w:line="240" w:lineRule="auto"/>
              <w:jc w:val="both"/>
              <w:rPr>
                <w:rFonts w:ascii="Times New Roman" w:hAnsi="Times New Roman"/>
                <w:szCs w:val="24"/>
                <w:lang w:val="en-US"/>
              </w:rPr>
            </w:pPr>
            <w:r>
              <w:rPr>
                <w:rFonts w:ascii="Times New Roman" w:hAnsi="Times New Roman"/>
                <w:szCs w:val="24"/>
                <w:lang w:val="en-US"/>
              </w:rPr>
              <w:t>Noise and vibrations</w:t>
            </w:r>
          </w:p>
        </w:tc>
        <w:tc>
          <w:tcPr>
            <w:tcW w:w="7654" w:type="dxa"/>
          </w:tcPr>
          <w:p w14:paraId="354FC280">
            <w:pPr>
              <w:pStyle w:val="32"/>
              <w:numPr>
                <w:ilvl w:val="0"/>
                <w:numId w:val="74"/>
              </w:numPr>
              <w:spacing w:line="240" w:lineRule="auto"/>
              <w:jc w:val="both"/>
              <w:rPr>
                <w:rFonts w:ascii="Times New Roman" w:hAnsi="Times New Roman"/>
                <w:szCs w:val="24"/>
              </w:rPr>
            </w:pPr>
            <w:r>
              <w:rPr>
                <w:rFonts w:ascii="Times New Roman" w:hAnsi="Times New Roman"/>
                <w:szCs w:val="24"/>
              </w:rPr>
              <w:t>Contractor to agree noise limits/ noise control stations with NEMA and obtain a Construction Noise Permit prior to the commencement of construction work.</w:t>
            </w:r>
          </w:p>
          <w:p w14:paraId="4FE572E7">
            <w:pPr>
              <w:pStyle w:val="32"/>
              <w:numPr>
                <w:ilvl w:val="0"/>
                <w:numId w:val="74"/>
              </w:numPr>
              <w:spacing w:line="240" w:lineRule="auto"/>
              <w:jc w:val="both"/>
              <w:rPr>
                <w:rFonts w:ascii="Times New Roman" w:hAnsi="Times New Roman"/>
                <w:szCs w:val="24"/>
              </w:rPr>
            </w:pPr>
            <w:r>
              <w:rPr>
                <w:rFonts w:ascii="Times New Roman" w:hAnsi="Times New Roman"/>
                <w:szCs w:val="24"/>
              </w:rPr>
              <w:t>Positioning Powered Mechanical Equipment (PME) so that noise is directed away from sensitive areas;</w:t>
            </w:r>
          </w:p>
          <w:p w14:paraId="3075EFEB">
            <w:pPr>
              <w:pStyle w:val="32"/>
              <w:numPr>
                <w:ilvl w:val="0"/>
                <w:numId w:val="74"/>
              </w:numPr>
              <w:spacing w:line="240" w:lineRule="auto"/>
              <w:jc w:val="both"/>
              <w:rPr>
                <w:rFonts w:ascii="Times New Roman" w:hAnsi="Times New Roman"/>
                <w:szCs w:val="24"/>
              </w:rPr>
            </w:pPr>
            <w:r>
              <w:rPr>
                <w:rFonts w:ascii="Times New Roman" w:hAnsi="Times New Roman"/>
                <w:szCs w:val="24"/>
              </w:rPr>
              <w:t>Contractor to prepare for approval by KIMAWASCO a Health Management Plan (HMP) detailing means to protect site workers and community from excessive noise and vibrations</w:t>
            </w:r>
          </w:p>
          <w:p w14:paraId="3781E8B5">
            <w:pPr>
              <w:pStyle w:val="32"/>
              <w:numPr>
                <w:ilvl w:val="0"/>
                <w:numId w:val="74"/>
              </w:numPr>
              <w:spacing w:line="240" w:lineRule="auto"/>
              <w:jc w:val="both"/>
              <w:rPr>
                <w:rFonts w:ascii="Times New Roman" w:hAnsi="Times New Roman"/>
                <w:szCs w:val="24"/>
              </w:rPr>
            </w:pPr>
            <w:r>
              <w:rPr>
                <w:rFonts w:ascii="Times New Roman" w:hAnsi="Times New Roman"/>
                <w:szCs w:val="24"/>
              </w:rPr>
              <w:t xml:space="preserve">Special care should be taken when construction is taking place near sensitive receptors such as schools and hospitals. </w:t>
            </w:r>
          </w:p>
          <w:p w14:paraId="0DC93588">
            <w:pPr>
              <w:pStyle w:val="32"/>
              <w:numPr>
                <w:ilvl w:val="0"/>
                <w:numId w:val="74"/>
              </w:numPr>
              <w:spacing w:line="240" w:lineRule="auto"/>
              <w:jc w:val="both"/>
              <w:rPr>
                <w:rFonts w:ascii="Times New Roman" w:hAnsi="Times New Roman"/>
                <w:szCs w:val="24"/>
              </w:rPr>
            </w:pPr>
            <w:r>
              <w:rPr>
                <w:rFonts w:ascii="Times New Roman" w:hAnsi="Times New Roman"/>
                <w:szCs w:val="24"/>
              </w:rPr>
              <w:t>To the extent possible, heavy vehicles and equipment should not be used at night across populated areas.</w:t>
            </w:r>
          </w:p>
          <w:p w14:paraId="7B176AB5">
            <w:pPr>
              <w:pStyle w:val="32"/>
              <w:numPr>
                <w:ilvl w:val="0"/>
                <w:numId w:val="74"/>
              </w:numPr>
              <w:spacing w:line="240" w:lineRule="auto"/>
              <w:jc w:val="both"/>
              <w:rPr>
                <w:rFonts w:ascii="Times New Roman" w:hAnsi="Times New Roman"/>
                <w:szCs w:val="24"/>
              </w:rPr>
            </w:pPr>
            <w:r>
              <w:rPr>
                <w:rFonts w:ascii="Times New Roman" w:hAnsi="Times New Roman"/>
                <w:szCs w:val="24"/>
              </w:rPr>
              <w:t>Ensure that construction equipment is operating optimally and with operational noise mufflers where possible.</w:t>
            </w:r>
          </w:p>
        </w:tc>
        <w:tc>
          <w:tcPr>
            <w:tcW w:w="1701" w:type="dxa"/>
          </w:tcPr>
          <w:p w14:paraId="4C65ACD2">
            <w:pPr>
              <w:spacing w:after="0" w:line="240" w:lineRule="auto"/>
              <w:jc w:val="both"/>
              <w:rPr>
                <w:rFonts w:ascii="Times New Roman" w:hAnsi="Times New Roman"/>
                <w:szCs w:val="24"/>
                <w:lang w:val="en-US"/>
              </w:rPr>
            </w:pPr>
            <w:r>
              <w:rPr>
                <w:rFonts w:ascii="Times New Roman" w:hAnsi="Times New Roman"/>
                <w:szCs w:val="24"/>
                <w:lang w:val="en-US"/>
              </w:rPr>
              <w:t>Contractor</w:t>
            </w:r>
          </w:p>
          <w:p w14:paraId="73A3D2EC">
            <w:pPr>
              <w:spacing w:after="0" w:line="240" w:lineRule="auto"/>
              <w:jc w:val="both"/>
              <w:rPr>
                <w:rFonts w:ascii="Times New Roman" w:hAnsi="Times New Roman"/>
                <w:szCs w:val="24"/>
                <w:lang w:val="en-US"/>
              </w:rPr>
            </w:pPr>
            <w:r>
              <w:rPr>
                <w:rFonts w:ascii="Times New Roman" w:hAnsi="Times New Roman"/>
                <w:szCs w:val="24"/>
                <w:lang w:val="en-US"/>
              </w:rPr>
              <w:t>Resident Engineer</w:t>
            </w:r>
          </w:p>
        </w:tc>
        <w:tc>
          <w:tcPr>
            <w:tcW w:w="2763" w:type="dxa"/>
          </w:tcPr>
          <w:p w14:paraId="6EDF9161">
            <w:pPr>
              <w:spacing w:line="240" w:lineRule="auto"/>
              <w:jc w:val="both"/>
              <w:rPr>
                <w:rFonts w:ascii="Times New Roman" w:hAnsi="Times New Roman"/>
                <w:szCs w:val="24"/>
                <w:lang w:val="en-US"/>
              </w:rPr>
            </w:pPr>
            <w:r>
              <w:rPr>
                <w:rFonts w:ascii="Times New Roman" w:hAnsi="Times New Roman"/>
                <w:szCs w:val="24"/>
                <w:lang w:val="en-US"/>
              </w:rPr>
              <w:t>No additional Costs</w:t>
            </w:r>
          </w:p>
        </w:tc>
      </w:tr>
      <w:tr w14:paraId="1448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5B6D709">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626469E8">
            <w:pPr>
              <w:spacing w:line="240" w:lineRule="auto"/>
              <w:jc w:val="both"/>
              <w:rPr>
                <w:rFonts w:ascii="Times New Roman" w:hAnsi="Times New Roman"/>
                <w:szCs w:val="24"/>
                <w:lang w:val="en-US"/>
              </w:rPr>
            </w:pPr>
            <w:r>
              <w:rPr>
                <w:rFonts w:ascii="Times New Roman" w:hAnsi="Times New Roman"/>
                <w:szCs w:val="24"/>
                <w:lang w:val="en-US"/>
              </w:rPr>
              <w:t>Public &amp; Occupational Safety &amp; Health</w:t>
            </w:r>
          </w:p>
        </w:tc>
        <w:tc>
          <w:tcPr>
            <w:tcW w:w="7654" w:type="dxa"/>
          </w:tcPr>
          <w:p w14:paraId="413FC9DD">
            <w:pPr>
              <w:pStyle w:val="32"/>
              <w:numPr>
                <w:ilvl w:val="0"/>
                <w:numId w:val="75"/>
              </w:numPr>
              <w:spacing w:line="240" w:lineRule="auto"/>
              <w:jc w:val="both"/>
              <w:rPr>
                <w:rFonts w:ascii="Times New Roman" w:hAnsi="Times New Roman"/>
                <w:szCs w:val="24"/>
              </w:rPr>
            </w:pPr>
            <w:r>
              <w:rPr>
                <w:rFonts w:ascii="Times New Roman" w:hAnsi="Times New Roman"/>
                <w:szCs w:val="24"/>
              </w:rPr>
              <w:t>Ensure consistent use of PPE by workforce. The contractor should commit himself to strict implementation of OSHA regulations during construction and operations.</w:t>
            </w:r>
          </w:p>
          <w:p w14:paraId="4730024B">
            <w:pPr>
              <w:pStyle w:val="32"/>
              <w:numPr>
                <w:ilvl w:val="0"/>
                <w:numId w:val="75"/>
              </w:numPr>
              <w:spacing w:line="240" w:lineRule="auto"/>
              <w:jc w:val="both"/>
              <w:rPr>
                <w:rFonts w:ascii="Times New Roman" w:hAnsi="Times New Roman"/>
                <w:szCs w:val="24"/>
              </w:rPr>
            </w:pPr>
            <w:r>
              <w:rPr>
                <w:rFonts w:ascii="Times New Roman" w:hAnsi="Times New Roman"/>
                <w:szCs w:val="24"/>
              </w:rPr>
              <w:t>Ensure the installation of barriers like fences around active sites and other locations to prevent access to facilities by unauthorized persons.</w:t>
            </w:r>
          </w:p>
          <w:p w14:paraId="17D4DD60">
            <w:pPr>
              <w:pStyle w:val="32"/>
              <w:numPr>
                <w:ilvl w:val="0"/>
                <w:numId w:val="76"/>
              </w:numPr>
              <w:spacing w:line="240" w:lineRule="auto"/>
              <w:jc w:val="both"/>
              <w:rPr>
                <w:rFonts w:ascii="Times New Roman" w:hAnsi="Times New Roman"/>
                <w:szCs w:val="24"/>
              </w:rPr>
            </w:pPr>
            <w:r>
              <w:rPr>
                <w:rFonts w:ascii="Times New Roman" w:hAnsi="Times New Roman"/>
                <w:szCs w:val="24"/>
              </w:rPr>
              <w:t>The workers should receive requisite training especially on the operation of the machinery and equipment</w:t>
            </w:r>
          </w:p>
          <w:p w14:paraId="5C3D7574">
            <w:pPr>
              <w:pStyle w:val="32"/>
              <w:numPr>
                <w:ilvl w:val="0"/>
                <w:numId w:val="76"/>
              </w:numPr>
              <w:spacing w:line="240" w:lineRule="auto"/>
              <w:jc w:val="both"/>
              <w:rPr>
                <w:rFonts w:ascii="Times New Roman" w:hAnsi="Times New Roman"/>
                <w:szCs w:val="24"/>
              </w:rPr>
            </w:pPr>
            <w:r>
              <w:rPr>
                <w:rFonts w:ascii="Times New Roman" w:hAnsi="Times New Roman"/>
                <w:szCs w:val="24"/>
              </w:rPr>
              <w:t>There should be adequate warning and directional signs.</w:t>
            </w:r>
          </w:p>
          <w:p w14:paraId="3CCFCB37">
            <w:pPr>
              <w:pStyle w:val="32"/>
              <w:numPr>
                <w:ilvl w:val="0"/>
                <w:numId w:val="76"/>
              </w:numPr>
              <w:spacing w:line="240" w:lineRule="auto"/>
              <w:jc w:val="both"/>
              <w:rPr>
                <w:rFonts w:ascii="Times New Roman" w:hAnsi="Times New Roman"/>
                <w:szCs w:val="24"/>
              </w:rPr>
            </w:pPr>
            <w:r>
              <w:rPr>
                <w:rFonts w:ascii="Times New Roman" w:hAnsi="Times New Roman"/>
                <w:szCs w:val="24"/>
              </w:rPr>
              <w:t>Ensuring that the prepared code of conduct for staff is followed to prevent accidents.</w:t>
            </w:r>
          </w:p>
          <w:p w14:paraId="0AB3E249">
            <w:pPr>
              <w:pStyle w:val="32"/>
              <w:numPr>
                <w:ilvl w:val="0"/>
                <w:numId w:val="76"/>
              </w:numPr>
              <w:spacing w:line="240" w:lineRule="auto"/>
              <w:jc w:val="both"/>
              <w:rPr>
                <w:rFonts w:ascii="Times New Roman" w:hAnsi="Times New Roman"/>
                <w:szCs w:val="24"/>
              </w:rPr>
            </w:pPr>
            <w:r>
              <w:rPr>
                <w:rFonts w:ascii="Times New Roman" w:hAnsi="Times New Roman"/>
                <w:szCs w:val="24"/>
              </w:rPr>
              <w:t>Develop a site safety action plan detailing safety equipment to be used, emergency procedures, restriction on site, frequency and personnel responsible for safety inspections and controls.</w:t>
            </w:r>
          </w:p>
          <w:p w14:paraId="31FCD42D">
            <w:pPr>
              <w:pStyle w:val="32"/>
              <w:numPr>
                <w:ilvl w:val="0"/>
                <w:numId w:val="76"/>
              </w:numPr>
              <w:spacing w:line="240" w:lineRule="auto"/>
              <w:jc w:val="both"/>
              <w:rPr>
                <w:rFonts w:ascii="Times New Roman" w:hAnsi="Times New Roman"/>
                <w:szCs w:val="24"/>
              </w:rPr>
            </w:pPr>
            <w:r>
              <w:rPr>
                <w:rFonts w:ascii="Times New Roman" w:hAnsi="Times New Roman"/>
                <w:szCs w:val="24"/>
              </w:rPr>
              <w:t>Cordon off unsafe areas</w:t>
            </w:r>
          </w:p>
          <w:p w14:paraId="4B648B07">
            <w:pPr>
              <w:pStyle w:val="32"/>
              <w:numPr>
                <w:ilvl w:val="0"/>
                <w:numId w:val="76"/>
              </w:numPr>
              <w:spacing w:line="240" w:lineRule="auto"/>
              <w:jc w:val="both"/>
              <w:rPr>
                <w:rFonts w:ascii="Times New Roman" w:hAnsi="Times New Roman"/>
                <w:szCs w:val="24"/>
              </w:rPr>
            </w:pPr>
            <w:r>
              <w:rPr>
                <w:rFonts w:ascii="Times New Roman" w:hAnsi="Times New Roman"/>
                <w:szCs w:val="24"/>
              </w:rPr>
              <w:t>Provide first Aid kit within the construction site.</w:t>
            </w:r>
          </w:p>
          <w:p w14:paraId="6B366CB9">
            <w:pPr>
              <w:pStyle w:val="32"/>
              <w:numPr>
                <w:ilvl w:val="0"/>
                <w:numId w:val="76"/>
              </w:numPr>
              <w:spacing w:line="240" w:lineRule="auto"/>
              <w:jc w:val="both"/>
              <w:rPr>
                <w:rFonts w:ascii="Times New Roman" w:hAnsi="Times New Roman"/>
                <w:szCs w:val="24"/>
              </w:rPr>
            </w:pPr>
            <w:r>
              <w:rPr>
                <w:rFonts w:ascii="Times New Roman" w:hAnsi="Times New Roman"/>
                <w:szCs w:val="24"/>
              </w:rPr>
              <w:t>Creation of awareness of the Grievance Redress Mechanism (GRM) amongst all the stakeholders through public awareness campaigns</w:t>
            </w:r>
          </w:p>
        </w:tc>
        <w:tc>
          <w:tcPr>
            <w:tcW w:w="1701" w:type="dxa"/>
          </w:tcPr>
          <w:p w14:paraId="21F5E59A">
            <w:pPr>
              <w:spacing w:after="0" w:line="240" w:lineRule="auto"/>
              <w:jc w:val="both"/>
              <w:rPr>
                <w:rFonts w:ascii="Times New Roman" w:hAnsi="Times New Roman"/>
                <w:szCs w:val="24"/>
                <w:lang w:val="en-US"/>
              </w:rPr>
            </w:pPr>
            <w:r>
              <w:rPr>
                <w:rFonts w:ascii="Times New Roman" w:hAnsi="Times New Roman"/>
                <w:szCs w:val="24"/>
                <w:lang w:val="en-US"/>
              </w:rPr>
              <w:t>Contractor</w:t>
            </w:r>
          </w:p>
          <w:p w14:paraId="71760A1A">
            <w:pPr>
              <w:spacing w:after="0" w:line="240" w:lineRule="auto"/>
              <w:jc w:val="both"/>
              <w:rPr>
                <w:rFonts w:ascii="Times New Roman" w:hAnsi="Times New Roman"/>
                <w:szCs w:val="24"/>
                <w:lang w:val="en-US"/>
              </w:rPr>
            </w:pPr>
            <w:r>
              <w:rPr>
                <w:rFonts w:ascii="Times New Roman" w:hAnsi="Times New Roman"/>
                <w:szCs w:val="24"/>
                <w:lang w:val="en-US"/>
              </w:rPr>
              <w:t>Resident Engineer</w:t>
            </w:r>
          </w:p>
          <w:p w14:paraId="586E7A62">
            <w:pPr>
              <w:spacing w:after="0" w:line="240" w:lineRule="auto"/>
              <w:jc w:val="both"/>
              <w:rPr>
                <w:rFonts w:ascii="Times New Roman" w:hAnsi="Times New Roman"/>
                <w:szCs w:val="24"/>
                <w:lang w:val="en-US"/>
              </w:rPr>
            </w:pPr>
            <w:r>
              <w:rPr>
                <w:rFonts w:ascii="Times New Roman" w:hAnsi="Times New Roman"/>
                <w:szCs w:val="24"/>
                <w:lang w:val="en-US"/>
              </w:rPr>
              <w:t>KIMWASCO</w:t>
            </w:r>
          </w:p>
        </w:tc>
        <w:tc>
          <w:tcPr>
            <w:tcW w:w="2763" w:type="dxa"/>
          </w:tcPr>
          <w:p w14:paraId="2159F405">
            <w:pPr>
              <w:spacing w:line="240" w:lineRule="auto"/>
              <w:jc w:val="both"/>
              <w:rPr>
                <w:rFonts w:ascii="Times New Roman" w:hAnsi="Times New Roman"/>
                <w:szCs w:val="24"/>
                <w:lang w:val="en-US"/>
              </w:rPr>
            </w:pPr>
            <w:r>
              <w:rPr>
                <w:rFonts w:ascii="Times New Roman" w:hAnsi="Times New Roman"/>
                <w:szCs w:val="24"/>
                <w:lang w:val="en-US"/>
              </w:rPr>
              <w:t xml:space="preserve">Toolbox meetings and awareness trainings shall be included in the safety trainings listed above. </w:t>
            </w:r>
          </w:p>
          <w:p w14:paraId="12F3254F">
            <w:pPr>
              <w:spacing w:line="240" w:lineRule="auto"/>
              <w:jc w:val="both"/>
              <w:rPr>
                <w:rFonts w:ascii="Times New Roman" w:hAnsi="Times New Roman"/>
                <w:szCs w:val="24"/>
                <w:lang w:val="en-US"/>
              </w:rPr>
            </w:pPr>
            <w:r>
              <w:rPr>
                <w:rFonts w:ascii="Times New Roman" w:hAnsi="Times New Roman"/>
                <w:b/>
                <w:szCs w:val="24"/>
                <w:lang w:val="en-US"/>
              </w:rPr>
              <w:t>15,000</w:t>
            </w:r>
            <w:r>
              <w:rPr>
                <w:rFonts w:ascii="Times New Roman" w:hAnsi="Times New Roman"/>
                <w:szCs w:val="24"/>
                <w:lang w:val="en-US"/>
              </w:rPr>
              <w:t xml:space="preserve"> for personal protective equipment</w:t>
            </w:r>
          </w:p>
          <w:p w14:paraId="14EAF1BD">
            <w:pPr>
              <w:spacing w:line="240" w:lineRule="auto"/>
              <w:jc w:val="both"/>
              <w:rPr>
                <w:rFonts w:ascii="Times New Roman" w:hAnsi="Times New Roman"/>
                <w:szCs w:val="24"/>
                <w:lang w:val="en-US"/>
              </w:rPr>
            </w:pPr>
          </w:p>
        </w:tc>
      </w:tr>
      <w:tr w14:paraId="0B2F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EAEDDFC">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5586D1EE">
            <w:pPr>
              <w:spacing w:line="240" w:lineRule="auto"/>
              <w:jc w:val="both"/>
              <w:rPr>
                <w:rFonts w:ascii="Times New Roman" w:hAnsi="Times New Roman"/>
                <w:szCs w:val="24"/>
                <w:lang w:val="en-US"/>
              </w:rPr>
            </w:pPr>
            <w:r>
              <w:rPr>
                <w:rFonts w:ascii="Times New Roman" w:hAnsi="Times New Roman"/>
                <w:szCs w:val="24"/>
                <w:lang w:val="en-US"/>
              </w:rPr>
              <w:t>Liability for loss of life, injury or damage to private property</w:t>
            </w:r>
          </w:p>
        </w:tc>
        <w:tc>
          <w:tcPr>
            <w:tcW w:w="7654" w:type="dxa"/>
          </w:tcPr>
          <w:p w14:paraId="303078F2">
            <w:pPr>
              <w:pStyle w:val="32"/>
              <w:numPr>
                <w:ilvl w:val="0"/>
                <w:numId w:val="77"/>
              </w:numPr>
              <w:spacing w:line="240" w:lineRule="auto"/>
              <w:jc w:val="both"/>
              <w:rPr>
                <w:rFonts w:ascii="Times New Roman" w:hAnsi="Times New Roman"/>
                <w:szCs w:val="24"/>
              </w:rPr>
            </w:pPr>
            <w:r>
              <w:rPr>
                <w:rFonts w:ascii="Times New Roman" w:hAnsi="Times New Roman"/>
                <w:szCs w:val="24"/>
              </w:rPr>
              <w:t>Recording of all injuries that occur on site in the incident register, corrective actions for their prevention are instigated as appropriate.</w:t>
            </w:r>
          </w:p>
          <w:p w14:paraId="4E9C9B74">
            <w:pPr>
              <w:pStyle w:val="32"/>
              <w:numPr>
                <w:ilvl w:val="0"/>
                <w:numId w:val="77"/>
              </w:numPr>
              <w:spacing w:line="240" w:lineRule="auto"/>
              <w:jc w:val="both"/>
              <w:rPr>
                <w:rFonts w:ascii="Times New Roman" w:hAnsi="Times New Roman"/>
                <w:szCs w:val="24"/>
              </w:rPr>
            </w:pPr>
            <w:r>
              <w:rPr>
                <w:rFonts w:ascii="Times New Roman" w:hAnsi="Times New Roman"/>
                <w:szCs w:val="24"/>
              </w:rPr>
              <w:t>Contractor to ensure compliance with the Workmen’s Compensation Act, ordinance regulations and union agreements.</w:t>
            </w:r>
          </w:p>
          <w:p w14:paraId="69048C2D">
            <w:pPr>
              <w:pStyle w:val="32"/>
              <w:numPr>
                <w:ilvl w:val="0"/>
                <w:numId w:val="77"/>
              </w:numPr>
              <w:spacing w:line="240" w:lineRule="auto"/>
              <w:jc w:val="both"/>
              <w:rPr>
                <w:rFonts w:ascii="Times New Roman" w:hAnsi="Times New Roman"/>
                <w:szCs w:val="24"/>
              </w:rPr>
            </w:pPr>
            <w:r>
              <w:rPr>
                <w:rFonts w:ascii="Times New Roman" w:hAnsi="Times New Roman"/>
                <w:szCs w:val="24"/>
              </w:rPr>
              <w:t>The Contractor to repair any damage done to private property.</w:t>
            </w:r>
          </w:p>
        </w:tc>
        <w:tc>
          <w:tcPr>
            <w:tcW w:w="1701" w:type="dxa"/>
          </w:tcPr>
          <w:p w14:paraId="6E828EC9">
            <w:pPr>
              <w:spacing w:after="0" w:line="240" w:lineRule="auto"/>
              <w:jc w:val="both"/>
              <w:rPr>
                <w:rFonts w:ascii="Times New Roman" w:hAnsi="Times New Roman"/>
                <w:szCs w:val="24"/>
                <w:lang w:val="en-US"/>
              </w:rPr>
            </w:pPr>
            <w:r>
              <w:rPr>
                <w:rFonts w:ascii="Times New Roman" w:hAnsi="Times New Roman"/>
                <w:szCs w:val="24"/>
                <w:lang w:val="en-US"/>
              </w:rPr>
              <w:t>Contractor</w:t>
            </w:r>
          </w:p>
          <w:p w14:paraId="21AC9933">
            <w:pPr>
              <w:spacing w:after="0" w:line="240" w:lineRule="auto"/>
              <w:jc w:val="both"/>
              <w:rPr>
                <w:rFonts w:ascii="Times New Roman" w:hAnsi="Times New Roman"/>
                <w:szCs w:val="24"/>
                <w:lang w:val="en-US"/>
              </w:rPr>
            </w:pPr>
            <w:r>
              <w:rPr>
                <w:rFonts w:ascii="Times New Roman" w:hAnsi="Times New Roman"/>
                <w:szCs w:val="24"/>
                <w:lang w:val="en-US"/>
              </w:rPr>
              <w:t>Resident Engineer</w:t>
            </w:r>
          </w:p>
          <w:p w14:paraId="757E0DD2">
            <w:pPr>
              <w:spacing w:line="240" w:lineRule="auto"/>
              <w:jc w:val="both"/>
              <w:rPr>
                <w:rFonts w:ascii="Times New Roman" w:hAnsi="Times New Roman"/>
                <w:szCs w:val="24"/>
                <w:lang w:val="en-US"/>
              </w:rPr>
            </w:pPr>
          </w:p>
        </w:tc>
        <w:tc>
          <w:tcPr>
            <w:tcW w:w="2763" w:type="dxa"/>
          </w:tcPr>
          <w:p w14:paraId="7FE51863">
            <w:pPr>
              <w:spacing w:line="240" w:lineRule="auto"/>
              <w:jc w:val="both"/>
              <w:rPr>
                <w:rFonts w:ascii="Times New Roman" w:hAnsi="Times New Roman"/>
                <w:szCs w:val="24"/>
                <w:lang w:val="en-US"/>
              </w:rPr>
            </w:pPr>
            <w:r>
              <w:rPr>
                <w:rFonts w:ascii="Times New Roman" w:hAnsi="Times New Roman"/>
                <w:szCs w:val="24"/>
                <w:lang w:val="en-US"/>
              </w:rPr>
              <w:t>No additional Costs.</w:t>
            </w:r>
          </w:p>
          <w:p w14:paraId="12E58BC6">
            <w:pPr>
              <w:spacing w:line="240" w:lineRule="auto"/>
              <w:jc w:val="both"/>
              <w:rPr>
                <w:rFonts w:ascii="Times New Roman" w:hAnsi="Times New Roman"/>
                <w:szCs w:val="24"/>
                <w:lang w:val="en-US"/>
              </w:rPr>
            </w:pPr>
            <w:r>
              <w:rPr>
                <w:rFonts w:ascii="Times New Roman" w:hAnsi="Times New Roman"/>
                <w:szCs w:val="24"/>
                <w:lang w:val="en-US"/>
              </w:rPr>
              <w:t xml:space="preserve">Compensation to be determined when it happens. </w:t>
            </w:r>
          </w:p>
        </w:tc>
      </w:tr>
      <w:tr w14:paraId="41C1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6518F01">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41E7FDD8">
            <w:pPr>
              <w:spacing w:line="240" w:lineRule="auto"/>
              <w:jc w:val="both"/>
              <w:rPr>
                <w:rFonts w:ascii="Times New Roman" w:hAnsi="Times New Roman"/>
                <w:szCs w:val="24"/>
                <w:lang w:val="en-US"/>
              </w:rPr>
            </w:pPr>
            <w:r>
              <w:rPr>
                <w:rFonts w:ascii="Times New Roman" w:hAnsi="Times New Roman"/>
                <w:szCs w:val="24"/>
                <w:lang w:val="en-US"/>
              </w:rPr>
              <w:t>HIV &amp; AIDS Impacts</w:t>
            </w:r>
          </w:p>
        </w:tc>
        <w:tc>
          <w:tcPr>
            <w:tcW w:w="7654" w:type="dxa"/>
          </w:tcPr>
          <w:p w14:paraId="7C021132">
            <w:pPr>
              <w:pStyle w:val="32"/>
              <w:numPr>
                <w:ilvl w:val="0"/>
                <w:numId w:val="78"/>
              </w:numPr>
              <w:spacing w:line="240" w:lineRule="auto"/>
              <w:jc w:val="both"/>
              <w:rPr>
                <w:rFonts w:ascii="Times New Roman" w:hAnsi="Times New Roman"/>
                <w:szCs w:val="24"/>
              </w:rPr>
            </w:pPr>
            <w:r>
              <w:rPr>
                <w:rFonts w:ascii="Times New Roman" w:hAnsi="Times New Roman"/>
                <w:szCs w:val="24"/>
              </w:rPr>
              <w:t>Sensitize workers and the surrounding communities on awareness, prevention and management of HIV/AIDS through staff training, awareness campaigns, multimedia and workshops or during community Barazas. Provide information, education and communication.</w:t>
            </w:r>
          </w:p>
          <w:p w14:paraId="765AA12C">
            <w:pPr>
              <w:pStyle w:val="32"/>
              <w:numPr>
                <w:ilvl w:val="0"/>
                <w:numId w:val="78"/>
              </w:numPr>
              <w:spacing w:line="240" w:lineRule="auto"/>
              <w:jc w:val="both"/>
              <w:rPr>
                <w:rFonts w:ascii="Times New Roman" w:hAnsi="Times New Roman"/>
                <w:szCs w:val="24"/>
              </w:rPr>
            </w:pPr>
            <w:r>
              <w:rPr>
                <w:rFonts w:ascii="Times New Roman" w:hAnsi="Times New Roman"/>
                <w:szCs w:val="24"/>
              </w:rPr>
              <w:t>Use of existing clinics to provide VCT services to construction crew and provision of ARVs for vulnerable community members</w:t>
            </w:r>
          </w:p>
        </w:tc>
        <w:tc>
          <w:tcPr>
            <w:tcW w:w="1701" w:type="dxa"/>
          </w:tcPr>
          <w:p w14:paraId="0DE6187D">
            <w:pPr>
              <w:spacing w:after="0" w:line="240" w:lineRule="auto"/>
              <w:jc w:val="both"/>
              <w:rPr>
                <w:rFonts w:ascii="Times New Roman" w:hAnsi="Times New Roman"/>
                <w:szCs w:val="24"/>
                <w:lang w:val="en-US"/>
              </w:rPr>
            </w:pPr>
            <w:r>
              <w:rPr>
                <w:rFonts w:ascii="Times New Roman" w:hAnsi="Times New Roman"/>
                <w:szCs w:val="24"/>
                <w:lang w:val="en-US"/>
              </w:rPr>
              <w:t>Contractor</w:t>
            </w:r>
          </w:p>
          <w:p w14:paraId="4F461E7E">
            <w:pPr>
              <w:spacing w:after="0" w:line="240" w:lineRule="auto"/>
              <w:jc w:val="both"/>
              <w:rPr>
                <w:rFonts w:ascii="Times New Roman" w:hAnsi="Times New Roman"/>
                <w:szCs w:val="24"/>
                <w:lang w:val="en-US"/>
              </w:rPr>
            </w:pPr>
            <w:r>
              <w:rPr>
                <w:rFonts w:ascii="Times New Roman" w:hAnsi="Times New Roman"/>
                <w:szCs w:val="24"/>
                <w:lang w:val="en-US"/>
              </w:rPr>
              <w:t>Resident Engineer</w:t>
            </w:r>
          </w:p>
          <w:p w14:paraId="500CB29F">
            <w:pPr>
              <w:spacing w:after="0" w:line="240" w:lineRule="auto"/>
              <w:jc w:val="both"/>
              <w:rPr>
                <w:rFonts w:ascii="Times New Roman" w:hAnsi="Times New Roman"/>
                <w:szCs w:val="24"/>
                <w:lang w:val="en-US"/>
              </w:rPr>
            </w:pPr>
            <w:r>
              <w:rPr>
                <w:rFonts w:ascii="Times New Roman" w:hAnsi="Times New Roman"/>
                <w:szCs w:val="24"/>
                <w:lang w:val="en-US"/>
              </w:rPr>
              <w:t>The County Government</w:t>
            </w:r>
          </w:p>
          <w:p w14:paraId="122D585A">
            <w:pPr>
              <w:spacing w:after="0" w:line="240" w:lineRule="auto"/>
              <w:jc w:val="both"/>
              <w:rPr>
                <w:rFonts w:ascii="Times New Roman" w:hAnsi="Times New Roman"/>
                <w:szCs w:val="24"/>
                <w:lang w:val="en-US"/>
              </w:rPr>
            </w:pPr>
            <w:r>
              <w:rPr>
                <w:rFonts w:ascii="Times New Roman" w:hAnsi="Times New Roman"/>
                <w:szCs w:val="24"/>
                <w:lang w:val="en-US"/>
              </w:rPr>
              <w:t>KIMAWASCO</w:t>
            </w:r>
          </w:p>
        </w:tc>
        <w:tc>
          <w:tcPr>
            <w:tcW w:w="2763" w:type="dxa"/>
          </w:tcPr>
          <w:p w14:paraId="70A33F52">
            <w:pPr>
              <w:spacing w:line="240" w:lineRule="auto"/>
              <w:jc w:val="both"/>
              <w:rPr>
                <w:rFonts w:ascii="Times New Roman" w:hAnsi="Times New Roman"/>
                <w:szCs w:val="24"/>
                <w:lang w:val="en-US"/>
              </w:rPr>
            </w:pPr>
            <w:r>
              <w:rPr>
                <w:rFonts w:ascii="Times New Roman" w:hAnsi="Times New Roman"/>
                <w:b/>
                <w:szCs w:val="24"/>
                <w:lang w:val="en-US"/>
              </w:rPr>
              <w:t>20,000.00</w:t>
            </w:r>
            <w:r>
              <w:rPr>
                <w:rFonts w:ascii="Times New Roman" w:hAnsi="Times New Roman"/>
                <w:szCs w:val="24"/>
                <w:lang w:val="en-US"/>
              </w:rPr>
              <w:t xml:space="preserve"> to cater for a comprehensive awareness program including VCT services and provision for ARVs throughout the project period. </w:t>
            </w:r>
          </w:p>
        </w:tc>
      </w:tr>
      <w:tr w14:paraId="4F49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A6963B6">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282312FD">
            <w:pPr>
              <w:spacing w:line="240" w:lineRule="auto"/>
              <w:jc w:val="both"/>
              <w:rPr>
                <w:rFonts w:ascii="Times New Roman" w:hAnsi="Times New Roman"/>
                <w:szCs w:val="24"/>
                <w:lang w:val="en-US"/>
              </w:rPr>
            </w:pPr>
            <w:r>
              <w:rPr>
                <w:rFonts w:ascii="Times New Roman" w:hAnsi="Times New Roman"/>
                <w:szCs w:val="24"/>
                <w:lang w:val="en-US"/>
              </w:rPr>
              <w:t>Socio-economic impacts</w:t>
            </w:r>
          </w:p>
        </w:tc>
        <w:tc>
          <w:tcPr>
            <w:tcW w:w="7654" w:type="dxa"/>
          </w:tcPr>
          <w:p w14:paraId="649C2D87">
            <w:pPr>
              <w:pStyle w:val="32"/>
              <w:numPr>
                <w:ilvl w:val="0"/>
                <w:numId w:val="79"/>
              </w:numPr>
              <w:spacing w:line="240" w:lineRule="auto"/>
              <w:jc w:val="both"/>
              <w:rPr>
                <w:rFonts w:ascii="Times New Roman" w:hAnsi="Times New Roman"/>
                <w:szCs w:val="24"/>
              </w:rPr>
            </w:pPr>
            <w:r>
              <w:rPr>
                <w:rFonts w:ascii="Times New Roman" w:hAnsi="Times New Roman"/>
                <w:szCs w:val="24"/>
              </w:rPr>
              <w:t>Unskilled and skilled (if available) labour to be hired from the local population as far as possible to minimize on influx of non-residents into the community.</w:t>
            </w:r>
          </w:p>
          <w:p w14:paraId="568B8808">
            <w:pPr>
              <w:pStyle w:val="32"/>
              <w:numPr>
                <w:ilvl w:val="0"/>
                <w:numId w:val="79"/>
              </w:numPr>
              <w:spacing w:line="240" w:lineRule="auto"/>
              <w:jc w:val="both"/>
              <w:rPr>
                <w:rFonts w:ascii="Times New Roman" w:hAnsi="Times New Roman"/>
                <w:szCs w:val="24"/>
              </w:rPr>
            </w:pPr>
            <w:r>
              <w:rPr>
                <w:rFonts w:ascii="Times New Roman" w:hAnsi="Times New Roman"/>
                <w:szCs w:val="24"/>
              </w:rPr>
              <w:t>Use of manual labour during excavation and construction works where possible to ensure more employment of locals and hence ensure project support throughout the construction process.</w:t>
            </w:r>
          </w:p>
          <w:p w14:paraId="41EE7BA4">
            <w:pPr>
              <w:pStyle w:val="32"/>
              <w:numPr>
                <w:ilvl w:val="0"/>
                <w:numId w:val="79"/>
              </w:numPr>
              <w:spacing w:line="240" w:lineRule="auto"/>
              <w:jc w:val="both"/>
              <w:rPr>
                <w:rFonts w:ascii="Times New Roman" w:hAnsi="Times New Roman"/>
                <w:szCs w:val="24"/>
              </w:rPr>
            </w:pPr>
            <w:r>
              <w:rPr>
                <w:rFonts w:ascii="Times New Roman" w:hAnsi="Times New Roman"/>
                <w:szCs w:val="24"/>
              </w:rPr>
              <w:t>Ensure effective and matching contractual provisions for contractor to manage labour influx.</w:t>
            </w:r>
          </w:p>
          <w:p w14:paraId="750A0928">
            <w:pPr>
              <w:pStyle w:val="32"/>
              <w:numPr>
                <w:ilvl w:val="0"/>
                <w:numId w:val="79"/>
              </w:numPr>
              <w:spacing w:line="240" w:lineRule="auto"/>
              <w:jc w:val="both"/>
              <w:rPr>
                <w:rFonts w:ascii="Times New Roman" w:hAnsi="Times New Roman"/>
                <w:szCs w:val="24"/>
              </w:rPr>
            </w:pPr>
            <w:r>
              <w:rPr>
                <w:rFonts w:ascii="Times New Roman" w:hAnsi="Times New Roman"/>
                <w:szCs w:val="24"/>
              </w:rPr>
              <w:t>Sensitize workers and the surrounding community on awareness, prevention and management of HIV / AIDS through staff training, awareness campaigns, multimedia, and workshops or during community Barazas.</w:t>
            </w:r>
          </w:p>
          <w:p w14:paraId="1D0E47C8">
            <w:pPr>
              <w:pStyle w:val="32"/>
              <w:numPr>
                <w:ilvl w:val="0"/>
                <w:numId w:val="79"/>
              </w:numPr>
              <w:spacing w:line="240" w:lineRule="auto"/>
              <w:jc w:val="both"/>
              <w:rPr>
                <w:rFonts w:ascii="Times New Roman" w:hAnsi="Times New Roman"/>
                <w:szCs w:val="24"/>
              </w:rPr>
            </w:pPr>
            <w:r>
              <w:rPr>
                <w:rFonts w:ascii="Times New Roman" w:hAnsi="Times New Roman"/>
                <w:szCs w:val="24"/>
              </w:rPr>
              <w:t>Use of existing clinics to provide VCT services to construction crew and provision of ARVs for vulnerable community members</w:t>
            </w:r>
          </w:p>
          <w:p w14:paraId="47E48E0F">
            <w:pPr>
              <w:pStyle w:val="32"/>
              <w:numPr>
                <w:ilvl w:val="0"/>
                <w:numId w:val="79"/>
              </w:numPr>
              <w:spacing w:line="240" w:lineRule="auto"/>
              <w:jc w:val="both"/>
              <w:rPr>
                <w:rFonts w:ascii="Times New Roman" w:hAnsi="Times New Roman"/>
                <w:szCs w:val="24"/>
              </w:rPr>
            </w:pPr>
            <w:r>
              <w:rPr>
                <w:rFonts w:ascii="Times New Roman" w:hAnsi="Times New Roman"/>
                <w:szCs w:val="24"/>
              </w:rPr>
              <w:t>The Contractor should enforce and maintain a code of conduct for his employees</w:t>
            </w:r>
          </w:p>
        </w:tc>
        <w:tc>
          <w:tcPr>
            <w:tcW w:w="1701" w:type="dxa"/>
          </w:tcPr>
          <w:p w14:paraId="262ABD74">
            <w:pPr>
              <w:spacing w:line="240" w:lineRule="auto"/>
              <w:jc w:val="both"/>
              <w:rPr>
                <w:rFonts w:ascii="Times New Roman" w:hAnsi="Times New Roman"/>
                <w:szCs w:val="24"/>
                <w:lang w:val="en-US"/>
              </w:rPr>
            </w:pPr>
            <w:r>
              <w:rPr>
                <w:rFonts w:ascii="Times New Roman" w:hAnsi="Times New Roman"/>
                <w:szCs w:val="24"/>
                <w:lang w:val="en-US"/>
              </w:rPr>
              <w:t>Contractor</w:t>
            </w:r>
          </w:p>
          <w:p w14:paraId="50B2C31D">
            <w:pPr>
              <w:spacing w:line="240" w:lineRule="auto"/>
              <w:jc w:val="both"/>
              <w:rPr>
                <w:rFonts w:ascii="Times New Roman" w:hAnsi="Times New Roman"/>
                <w:szCs w:val="24"/>
                <w:lang w:val="en-US"/>
              </w:rPr>
            </w:pPr>
            <w:r>
              <w:rPr>
                <w:rFonts w:ascii="Times New Roman" w:hAnsi="Times New Roman"/>
                <w:szCs w:val="24"/>
                <w:lang w:val="en-US"/>
              </w:rPr>
              <w:t>Resident Engineer</w:t>
            </w:r>
          </w:p>
        </w:tc>
        <w:tc>
          <w:tcPr>
            <w:tcW w:w="2763" w:type="dxa"/>
          </w:tcPr>
          <w:p w14:paraId="74F3FD4F">
            <w:pPr>
              <w:spacing w:line="240" w:lineRule="auto"/>
              <w:jc w:val="both"/>
              <w:rPr>
                <w:rFonts w:ascii="Times New Roman" w:hAnsi="Times New Roman"/>
                <w:szCs w:val="24"/>
                <w:lang w:val="en-US"/>
              </w:rPr>
            </w:pPr>
            <w:r>
              <w:rPr>
                <w:rFonts w:ascii="Times New Roman" w:hAnsi="Times New Roman"/>
                <w:szCs w:val="24"/>
                <w:lang w:val="en-US"/>
              </w:rPr>
              <w:t>No additional cost</w:t>
            </w:r>
          </w:p>
        </w:tc>
      </w:tr>
      <w:tr w14:paraId="6419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8B330ED">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6D68D9B3">
            <w:pPr>
              <w:spacing w:line="240" w:lineRule="auto"/>
              <w:jc w:val="both"/>
              <w:rPr>
                <w:rFonts w:ascii="Times New Roman" w:hAnsi="Times New Roman"/>
                <w:szCs w:val="24"/>
                <w:lang w:val="en-US"/>
              </w:rPr>
            </w:pPr>
            <w:r>
              <w:rPr>
                <w:rFonts w:ascii="Times New Roman" w:hAnsi="Times New Roman"/>
                <w:szCs w:val="24"/>
                <w:lang w:val="en-US"/>
              </w:rPr>
              <w:t>Child Labour and Protection</w:t>
            </w:r>
          </w:p>
        </w:tc>
        <w:tc>
          <w:tcPr>
            <w:tcW w:w="7654" w:type="dxa"/>
          </w:tcPr>
          <w:p w14:paraId="6A748D8E">
            <w:pPr>
              <w:pStyle w:val="32"/>
              <w:numPr>
                <w:ilvl w:val="0"/>
                <w:numId w:val="80"/>
              </w:numPr>
              <w:spacing w:line="240" w:lineRule="auto"/>
              <w:jc w:val="both"/>
              <w:rPr>
                <w:rFonts w:ascii="Times New Roman" w:hAnsi="Times New Roman"/>
                <w:szCs w:val="24"/>
              </w:rPr>
            </w:pPr>
            <w:r>
              <w:rPr>
                <w:rFonts w:ascii="Times New Roman" w:hAnsi="Times New Roman"/>
                <w:szCs w:val="24"/>
              </w:rPr>
              <w:t>Ensure no children are employed on site in accordance with the law through adoption of child protection code of conduct</w:t>
            </w:r>
          </w:p>
          <w:p w14:paraId="14675F39">
            <w:pPr>
              <w:pStyle w:val="32"/>
              <w:numPr>
                <w:ilvl w:val="0"/>
                <w:numId w:val="80"/>
              </w:numPr>
              <w:spacing w:line="240" w:lineRule="auto"/>
              <w:jc w:val="both"/>
              <w:rPr>
                <w:rFonts w:ascii="Times New Roman" w:hAnsi="Times New Roman"/>
                <w:szCs w:val="24"/>
              </w:rPr>
            </w:pPr>
            <w:r>
              <w:rPr>
                <w:rFonts w:ascii="Times New Roman" w:hAnsi="Times New Roman"/>
                <w:szCs w:val="24"/>
              </w:rPr>
              <w:t>Ensure that any child sexual relations offenses among contractors’ workers are promptly reported to the police for prosecution.</w:t>
            </w:r>
          </w:p>
        </w:tc>
        <w:tc>
          <w:tcPr>
            <w:tcW w:w="1701" w:type="dxa"/>
          </w:tcPr>
          <w:p w14:paraId="5CBCD0FE">
            <w:pPr>
              <w:spacing w:after="0" w:line="240" w:lineRule="auto"/>
              <w:jc w:val="both"/>
              <w:rPr>
                <w:rFonts w:ascii="Times New Roman" w:hAnsi="Times New Roman"/>
                <w:szCs w:val="24"/>
                <w:lang w:val="en-US"/>
              </w:rPr>
            </w:pPr>
            <w:r>
              <w:rPr>
                <w:rFonts w:ascii="Times New Roman" w:hAnsi="Times New Roman"/>
                <w:szCs w:val="24"/>
                <w:lang w:val="en-US"/>
              </w:rPr>
              <w:t>Contractor</w:t>
            </w:r>
          </w:p>
          <w:p w14:paraId="52AA7E75">
            <w:pPr>
              <w:spacing w:after="0" w:line="240" w:lineRule="auto"/>
              <w:jc w:val="both"/>
              <w:rPr>
                <w:rFonts w:ascii="Times New Roman" w:hAnsi="Times New Roman"/>
                <w:szCs w:val="24"/>
                <w:lang w:val="en-US"/>
              </w:rPr>
            </w:pPr>
            <w:r>
              <w:rPr>
                <w:rFonts w:ascii="Times New Roman" w:hAnsi="Times New Roman"/>
                <w:szCs w:val="24"/>
                <w:lang w:val="en-US"/>
              </w:rPr>
              <w:t>Resident Engineer</w:t>
            </w:r>
          </w:p>
          <w:p w14:paraId="71C234B4">
            <w:pPr>
              <w:spacing w:after="0" w:line="240" w:lineRule="auto"/>
              <w:jc w:val="both"/>
              <w:rPr>
                <w:rFonts w:ascii="Times New Roman" w:hAnsi="Times New Roman"/>
                <w:szCs w:val="24"/>
                <w:lang w:val="en-US"/>
              </w:rPr>
            </w:pPr>
            <w:r>
              <w:rPr>
                <w:rFonts w:ascii="Times New Roman" w:hAnsi="Times New Roman"/>
                <w:szCs w:val="24"/>
                <w:lang w:val="en-US"/>
              </w:rPr>
              <w:t>Local Administration</w:t>
            </w:r>
          </w:p>
        </w:tc>
        <w:tc>
          <w:tcPr>
            <w:tcW w:w="2763" w:type="dxa"/>
          </w:tcPr>
          <w:p w14:paraId="426CD44D">
            <w:pPr>
              <w:spacing w:line="240" w:lineRule="auto"/>
              <w:jc w:val="both"/>
              <w:rPr>
                <w:rFonts w:ascii="Times New Roman" w:hAnsi="Times New Roman"/>
                <w:szCs w:val="24"/>
                <w:lang w:val="en-US"/>
              </w:rPr>
            </w:pPr>
            <w:r>
              <w:rPr>
                <w:rFonts w:ascii="Times New Roman" w:hAnsi="Times New Roman"/>
                <w:szCs w:val="24"/>
                <w:lang w:val="en-US"/>
              </w:rPr>
              <w:t>No additional Costs</w:t>
            </w:r>
          </w:p>
        </w:tc>
      </w:tr>
      <w:tr w14:paraId="5976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F3756A5">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4903E051">
            <w:pPr>
              <w:spacing w:line="240" w:lineRule="auto"/>
              <w:jc w:val="both"/>
              <w:rPr>
                <w:rFonts w:ascii="Times New Roman" w:hAnsi="Times New Roman"/>
                <w:szCs w:val="24"/>
                <w:lang w:val="en-US"/>
              </w:rPr>
            </w:pPr>
            <w:r>
              <w:rPr>
                <w:rFonts w:ascii="Times New Roman" w:hAnsi="Times New Roman"/>
                <w:szCs w:val="24"/>
                <w:lang w:val="en-US"/>
              </w:rPr>
              <w:t>Gender Equity, Sexual Harassment</w:t>
            </w:r>
          </w:p>
        </w:tc>
        <w:tc>
          <w:tcPr>
            <w:tcW w:w="7654" w:type="dxa"/>
          </w:tcPr>
          <w:p w14:paraId="34C15E3D">
            <w:pPr>
              <w:pStyle w:val="32"/>
              <w:numPr>
                <w:ilvl w:val="0"/>
                <w:numId w:val="81"/>
              </w:numPr>
              <w:spacing w:line="240" w:lineRule="auto"/>
              <w:jc w:val="both"/>
              <w:rPr>
                <w:rFonts w:ascii="Times New Roman" w:hAnsi="Times New Roman"/>
                <w:szCs w:val="24"/>
              </w:rPr>
            </w:pPr>
            <w:r>
              <w:rPr>
                <w:rFonts w:ascii="Times New Roman" w:hAnsi="Times New Roman"/>
                <w:szCs w:val="24"/>
              </w:rPr>
              <w:t xml:space="preserve">The works contractor should be required, under its contract, to prepare and enforce a No Sexual Harassment and Non-Discrimination Policy, in accordance with national law where applicable. </w:t>
            </w:r>
          </w:p>
          <w:p w14:paraId="794929B1">
            <w:pPr>
              <w:pStyle w:val="32"/>
              <w:numPr>
                <w:ilvl w:val="0"/>
                <w:numId w:val="81"/>
              </w:numPr>
              <w:spacing w:line="240" w:lineRule="auto"/>
              <w:jc w:val="both"/>
              <w:rPr>
                <w:rFonts w:ascii="Times New Roman" w:hAnsi="Times New Roman"/>
                <w:szCs w:val="24"/>
              </w:rPr>
            </w:pPr>
            <w:r>
              <w:rPr>
                <w:rFonts w:ascii="Times New Roman" w:hAnsi="Times New Roman"/>
                <w:szCs w:val="24"/>
              </w:rPr>
              <w:t>The contractor should prepare and implement a gender action plan,</w:t>
            </w:r>
          </w:p>
        </w:tc>
        <w:tc>
          <w:tcPr>
            <w:tcW w:w="1701" w:type="dxa"/>
          </w:tcPr>
          <w:p w14:paraId="06D15BD9">
            <w:pPr>
              <w:spacing w:after="0" w:line="240" w:lineRule="auto"/>
              <w:jc w:val="both"/>
              <w:rPr>
                <w:rFonts w:ascii="Times New Roman" w:hAnsi="Times New Roman"/>
                <w:szCs w:val="24"/>
                <w:lang w:val="en-US"/>
              </w:rPr>
            </w:pPr>
            <w:r>
              <w:rPr>
                <w:rFonts w:ascii="Times New Roman" w:hAnsi="Times New Roman"/>
                <w:szCs w:val="24"/>
                <w:lang w:val="en-US"/>
              </w:rPr>
              <w:t>Contractor</w:t>
            </w:r>
          </w:p>
          <w:p w14:paraId="28BD40B7">
            <w:pPr>
              <w:spacing w:after="0" w:line="240" w:lineRule="auto"/>
              <w:jc w:val="both"/>
              <w:rPr>
                <w:rFonts w:ascii="Times New Roman" w:hAnsi="Times New Roman"/>
                <w:szCs w:val="24"/>
                <w:lang w:val="en-US"/>
              </w:rPr>
            </w:pPr>
            <w:r>
              <w:rPr>
                <w:rFonts w:ascii="Times New Roman" w:hAnsi="Times New Roman"/>
                <w:szCs w:val="24"/>
                <w:lang w:val="en-US"/>
              </w:rPr>
              <w:t>Resident Engineer</w:t>
            </w:r>
          </w:p>
          <w:p w14:paraId="7F687EC0">
            <w:pPr>
              <w:spacing w:after="0" w:line="240" w:lineRule="auto"/>
              <w:jc w:val="both"/>
              <w:rPr>
                <w:rFonts w:ascii="Times New Roman" w:hAnsi="Times New Roman"/>
                <w:szCs w:val="24"/>
                <w:lang w:val="en-US"/>
              </w:rPr>
            </w:pPr>
            <w:r>
              <w:rPr>
                <w:rFonts w:ascii="Times New Roman" w:hAnsi="Times New Roman"/>
                <w:szCs w:val="24"/>
                <w:lang w:val="en-US"/>
              </w:rPr>
              <w:t>Local Administration</w:t>
            </w:r>
          </w:p>
        </w:tc>
        <w:tc>
          <w:tcPr>
            <w:tcW w:w="2763" w:type="dxa"/>
          </w:tcPr>
          <w:p w14:paraId="66D37685">
            <w:pPr>
              <w:spacing w:line="240" w:lineRule="auto"/>
              <w:jc w:val="both"/>
              <w:rPr>
                <w:rFonts w:ascii="Times New Roman" w:hAnsi="Times New Roman"/>
                <w:szCs w:val="24"/>
                <w:lang w:val="en-US"/>
              </w:rPr>
            </w:pPr>
            <w:r>
              <w:rPr>
                <w:rFonts w:ascii="Times New Roman" w:hAnsi="Times New Roman"/>
                <w:szCs w:val="24"/>
                <w:lang w:val="en-US"/>
              </w:rPr>
              <w:t>No additional cost</w:t>
            </w:r>
          </w:p>
        </w:tc>
      </w:tr>
      <w:tr w14:paraId="55CD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CA52698">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26C66744">
            <w:pPr>
              <w:spacing w:line="240" w:lineRule="auto"/>
              <w:jc w:val="both"/>
              <w:rPr>
                <w:rFonts w:ascii="Times New Roman" w:hAnsi="Times New Roman"/>
                <w:szCs w:val="24"/>
                <w:lang w:val="en-US"/>
              </w:rPr>
            </w:pPr>
            <w:r>
              <w:rPr>
                <w:rFonts w:ascii="Times New Roman" w:hAnsi="Times New Roman"/>
                <w:szCs w:val="24"/>
                <w:lang w:val="en-US"/>
              </w:rPr>
              <w:t>Gender empowerment</w:t>
            </w:r>
          </w:p>
        </w:tc>
        <w:tc>
          <w:tcPr>
            <w:tcW w:w="7654" w:type="dxa"/>
          </w:tcPr>
          <w:p w14:paraId="24747193">
            <w:pPr>
              <w:pStyle w:val="32"/>
              <w:numPr>
                <w:ilvl w:val="0"/>
                <w:numId w:val="82"/>
              </w:numPr>
              <w:spacing w:line="240" w:lineRule="auto"/>
              <w:jc w:val="both"/>
              <w:rPr>
                <w:rFonts w:ascii="Times New Roman" w:hAnsi="Times New Roman"/>
                <w:szCs w:val="24"/>
              </w:rPr>
            </w:pPr>
            <w:r>
              <w:rPr>
                <w:rFonts w:ascii="Times New Roman" w:hAnsi="Times New Roman"/>
                <w:szCs w:val="24"/>
              </w:rPr>
              <w:t>Ensure equitable distribution of employment opportunities between men and women</w:t>
            </w:r>
          </w:p>
          <w:p w14:paraId="2235CE06">
            <w:pPr>
              <w:pStyle w:val="32"/>
              <w:numPr>
                <w:ilvl w:val="0"/>
                <w:numId w:val="82"/>
              </w:numPr>
              <w:spacing w:line="240" w:lineRule="auto"/>
              <w:jc w:val="both"/>
              <w:rPr>
                <w:rFonts w:ascii="Times New Roman" w:hAnsi="Times New Roman"/>
                <w:szCs w:val="24"/>
              </w:rPr>
            </w:pPr>
            <w:r>
              <w:rPr>
                <w:rFonts w:ascii="Times New Roman" w:hAnsi="Times New Roman"/>
                <w:szCs w:val="24"/>
              </w:rPr>
              <w:t>Provide temporary toilets and bathrooms for both male and female workers on site</w:t>
            </w:r>
          </w:p>
        </w:tc>
        <w:tc>
          <w:tcPr>
            <w:tcW w:w="1701" w:type="dxa"/>
          </w:tcPr>
          <w:p w14:paraId="052D89CF">
            <w:pPr>
              <w:spacing w:after="0" w:line="240" w:lineRule="auto"/>
              <w:jc w:val="both"/>
              <w:rPr>
                <w:rFonts w:ascii="Times New Roman" w:hAnsi="Times New Roman"/>
                <w:szCs w:val="24"/>
                <w:lang w:val="en-US"/>
              </w:rPr>
            </w:pPr>
            <w:r>
              <w:rPr>
                <w:rFonts w:ascii="Times New Roman" w:hAnsi="Times New Roman"/>
                <w:szCs w:val="24"/>
                <w:lang w:val="en-US"/>
              </w:rPr>
              <w:t>The contractor</w:t>
            </w:r>
          </w:p>
          <w:p w14:paraId="3F0C8492">
            <w:pPr>
              <w:spacing w:after="0" w:line="240" w:lineRule="auto"/>
              <w:jc w:val="both"/>
              <w:rPr>
                <w:rFonts w:ascii="Times New Roman" w:hAnsi="Times New Roman"/>
                <w:szCs w:val="24"/>
                <w:lang w:val="en-US"/>
              </w:rPr>
            </w:pPr>
            <w:r>
              <w:rPr>
                <w:rFonts w:ascii="Times New Roman" w:hAnsi="Times New Roman"/>
                <w:szCs w:val="24"/>
                <w:lang w:val="en-US"/>
              </w:rPr>
              <w:t>The Resident Engineer</w:t>
            </w:r>
          </w:p>
        </w:tc>
        <w:tc>
          <w:tcPr>
            <w:tcW w:w="2763" w:type="dxa"/>
          </w:tcPr>
          <w:p w14:paraId="5E469B9F">
            <w:pPr>
              <w:spacing w:line="240" w:lineRule="auto"/>
              <w:jc w:val="both"/>
              <w:rPr>
                <w:rFonts w:ascii="Times New Roman" w:hAnsi="Times New Roman"/>
                <w:szCs w:val="24"/>
                <w:lang w:val="en-US"/>
              </w:rPr>
            </w:pPr>
            <w:r>
              <w:rPr>
                <w:rFonts w:ascii="Times New Roman" w:hAnsi="Times New Roman"/>
                <w:b/>
                <w:szCs w:val="24"/>
                <w:lang w:val="en-US"/>
              </w:rPr>
              <w:t>100,000.0</w:t>
            </w:r>
            <w:r>
              <w:rPr>
                <w:rFonts w:ascii="Times New Roman" w:hAnsi="Times New Roman"/>
                <w:szCs w:val="24"/>
                <w:lang w:val="en-US"/>
              </w:rPr>
              <w:t xml:space="preserve">0 to cater for hiring male and female mobile toilets at the contractor’s camp. </w:t>
            </w:r>
          </w:p>
        </w:tc>
      </w:tr>
      <w:tr w14:paraId="52B4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49EAAA2">
            <w:pPr>
              <w:spacing w:line="240" w:lineRule="auto"/>
              <w:jc w:val="both"/>
              <w:rPr>
                <w:rFonts w:ascii="Times New Roman" w:hAnsi="Times New Roman"/>
                <w:szCs w:val="24"/>
                <w:lang w:val="en-US"/>
              </w:rPr>
            </w:pPr>
            <w:r>
              <w:rPr>
                <w:rFonts w:ascii="Times New Roman" w:hAnsi="Times New Roman"/>
                <w:szCs w:val="24"/>
                <w:lang w:val="en-US"/>
              </w:rPr>
              <w:t>SEA/GBV</w:t>
            </w:r>
          </w:p>
        </w:tc>
        <w:tc>
          <w:tcPr>
            <w:tcW w:w="1701" w:type="dxa"/>
          </w:tcPr>
          <w:p w14:paraId="4604E9E2">
            <w:pPr>
              <w:spacing w:line="240" w:lineRule="auto"/>
              <w:jc w:val="both"/>
              <w:rPr>
                <w:rFonts w:ascii="Times New Roman" w:hAnsi="Times New Roman"/>
                <w:szCs w:val="24"/>
                <w:lang w:val="en-US"/>
              </w:rPr>
            </w:pPr>
            <w:r>
              <w:rPr>
                <w:rFonts w:ascii="Times New Roman" w:hAnsi="Times New Roman"/>
                <w:szCs w:val="24"/>
                <w:lang w:val="en-US"/>
              </w:rPr>
              <w:t>Sexual Exploitation and Abuse by project workers against community members.</w:t>
            </w:r>
          </w:p>
        </w:tc>
        <w:tc>
          <w:tcPr>
            <w:tcW w:w="7654" w:type="dxa"/>
          </w:tcPr>
          <w:p w14:paraId="458D658F">
            <w:pPr>
              <w:spacing w:line="240" w:lineRule="auto"/>
              <w:jc w:val="both"/>
              <w:rPr>
                <w:rFonts w:ascii="Times New Roman" w:hAnsi="Times New Roman"/>
                <w:szCs w:val="24"/>
              </w:rPr>
            </w:pPr>
            <w:r>
              <w:rPr>
                <w:rFonts w:ascii="Times New Roman" w:hAnsi="Times New Roman"/>
                <w:szCs w:val="24"/>
              </w:rPr>
              <w:t>Develop and implement a SEA action plan with an Accountability and Response Framework as part of the C-ESMP.  The SEA action plan will include how the project will ensure necessary steps are in place for:</w:t>
            </w:r>
          </w:p>
          <w:p w14:paraId="5C7DEC59">
            <w:pPr>
              <w:spacing w:line="240" w:lineRule="auto"/>
              <w:jc w:val="both"/>
              <w:rPr>
                <w:rFonts w:ascii="Times New Roman" w:hAnsi="Times New Roman"/>
                <w:szCs w:val="24"/>
                <w:lang w:val="en-US"/>
              </w:rPr>
            </w:pPr>
            <w:r>
              <w:rPr>
                <w:rFonts w:ascii="Times New Roman" w:hAnsi="Times New Roman"/>
                <w:szCs w:val="24"/>
                <w:lang w:val="en-US"/>
              </w:rPr>
              <w:t>o</w:t>
            </w:r>
            <w:r>
              <w:rPr>
                <w:rFonts w:ascii="Times New Roman" w:hAnsi="Times New Roman"/>
                <w:szCs w:val="24"/>
                <w:lang w:val="en-US"/>
              </w:rPr>
              <w:tab/>
            </w:r>
            <w:r>
              <w:rPr>
                <w:rFonts w:ascii="Times New Roman" w:hAnsi="Times New Roman"/>
                <w:szCs w:val="24"/>
                <w:lang w:val="en-US"/>
              </w:rPr>
              <w:t xml:space="preserve">Prevention of SEA:  including COCs and ongoing sensitization of staff on responsibilities related to the COC and consequences of non-compliance; project-level IEC materials; </w:t>
            </w:r>
          </w:p>
          <w:p w14:paraId="65E10485">
            <w:pPr>
              <w:spacing w:line="240" w:lineRule="auto"/>
              <w:jc w:val="both"/>
              <w:rPr>
                <w:rFonts w:ascii="Times New Roman" w:hAnsi="Times New Roman"/>
                <w:szCs w:val="24"/>
                <w:lang w:val="en-US"/>
              </w:rPr>
            </w:pPr>
            <w:r>
              <w:rPr>
                <w:rFonts w:ascii="Times New Roman" w:hAnsi="Times New Roman"/>
                <w:szCs w:val="24"/>
                <w:lang w:val="en-US"/>
              </w:rPr>
              <w:t>Response to SEA:  including survivor-centered coordinated multi-sectoral referral and assistance to complainants according to standard operating procedures; staff reporting mechanisms; written procedures related to case oversight, investigation and disciplinary procedures at the project level, including confidential data management;</w:t>
            </w:r>
          </w:p>
          <w:p w14:paraId="04775BA1">
            <w:pPr>
              <w:spacing w:line="240" w:lineRule="auto"/>
              <w:jc w:val="both"/>
              <w:rPr>
                <w:rFonts w:ascii="Times New Roman" w:hAnsi="Times New Roman"/>
                <w:szCs w:val="24"/>
                <w:lang w:val="en-US"/>
              </w:rPr>
            </w:pPr>
            <w:r>
              <w:rPr>
                <w:rFonts w:ascii="Times New Roman" w:hAnsi="Times New Roman"/>
                <w:szCs w:val="24"/>
                <w:lang w:val="en-US"/>
              </w:rPr>
              <w:t>Engagement with the community: including development of confidential community-based complaints mechanisms discrete from the standard GRM; mainstreaming of PSEA awareness-raising in all community engagement activities; community-level IEC materials; regular community outreach to women and girls about social risks and their PSEA-related rights;</w:t>
            </w:r>
          </w:p>
          <w:p w14:paraId="7202E5E2">
            <w:pPr>
              <w:spacing w:line="240" w:lineRule="auto"/>
              <w:jc w:val="both"/>
              <w:rPr>
                <w:rFonts w:ascii="Times New Roman" w:hAnsi="Times New Roman"/>
                <w:szCs w:val="24"/>
                <w:lang w:val="en-US"/>
              </w:rPr>
            </w:pPr>
            <w:r>
              <w:rPr>
                <w:rFonts w:ascii="Times New Roman" w:hAnsi="Times New Roman"/>
                <w:szCs w:val="24"/>
                <w:lang w:val="en-US"/>
              </w:rPr>
              <w:t>o</w:t>
            </w:r>
            <w:r>
              <w:rPr>
                <w:rFonts w:ascii="Times New Roman" w:hAnsi="Times New Roman"/>
                <w:szCs w:val="24"/>
                <w:lang w:val="en-US"/>
              </w:rPr>
              <w:tab/>
            </w:r>
            <w:r>
              <w:rPr>
                <w:rFonts w:ascii="Times New Roman" w:hAnsi="Times New Roman"/>
                <w:szCs w:val="24"/>
                <w:lang w:val="en-US"/>
              </w:rPr>
              <w:t>Management and Coordination: including integration of SEA in job descriptions, employments contracts, performance appraisal systems, etc.; development of contract policies related to SEA, including whistle blower protection and investigation and disciplinary procedures; training for all project management; management of coordination mechanism for case oversight, investigations and disciplinary procedures; supervision of dedicated PSEA focal points in the project and trained community liaison officers.</w:t>
            </w:r>
          </w:p>
        </w:tc>
        <w:tc>
          <w:tcPr>
            <w:tcW w:w="1701" w:type="dxa"/>
          </w:tcPr>
          <w:p w14:paraId="743A0A5B">
            <w:pPr>
              <w:spacing w:after="0" w:line="240" w:lineRule="auto"/>
              <w:jc w:val="both"/>
              <w:rPr>
                <w:rFonts w:ascii="Times New Roman" w:hAnsi="Times New Roman"/>
                <w:szCs w:val="24"/>
                <w:lang w:val="en-US"/>
              </w:rPr>
            </w:pPr>
            <w:r>
              <w:rPr>
                <w:rFonts w:ascii="Times New Roman" w:hAnsi="Times New Roman"/>
                <w:szCs w:val="24"/>
                <w:lang w:val="en-US"/>
              </w:rPr>
              <w:t>Supervision Consultant</w:t>
            </w:r>
          </w:p>
          <w:p w14:paraId="71AC3D9E">
            <w:pPr>
              <w:spacing w:after="0" w:line="240" w:lineRule="auto"/>
              <w:jc w:val="both"/>
              <w:rPr>
                <w:rFonts w:ascii="Times New Roman" w:hAnsi="Times New Roman"/>
                <w:szCs w:val="24"/>
                <w:lang w:val="en-US"/>
              </w:rPr>
            </w:pPr>
            <w:r>
              <w:rPr>
                <w:rFonts w:ascii="Times New Roman" w:hAnsi="Times New Roman"/>
                <w:szCs w:val="24"/>
                <w:lang w:val="en-US"/>
              </w:rPr>
              <w:t>GBV Expert</w:t>
            </w:r>
          </w:p>
          <w:p w14:paraId="77C4BA46">
            <w:pPr>
              <w:spacing w:after="0" w:line="240" w:lineRule="auto"/>
              <w:jc w:val="both"/>
              <w:rPr>
                <w:rFonts w:ascii="Times New Roman" w:hAnsi="Times New Roman"/>
                <w:szCs w:val="24"/>
                <w:lang w:val="en-US"/>
              </w:rPr>
            </w:pPr>
            <w:r>
              <w:rPr>
                <w:rFonts w:ascii="Times New Roman" w:hAnsi="Times New Roman"/>
                <w:szCs w:val="24"/>
                <w:lang w:val="en-US"/>
              </w:rPr>
              <w:t>Local CBO</w:t>
            </w:r>
          </w:p>
          <w:p w14:paraId="512B1494">
            <w:pPr>
              <w:spacing w:after="0" w:line="240" w:lineRule="auto"/>
              <w:jc w:val="both"/>
              <w:rPr>
                <w:rFonts w:ascii="Times New Roman" w:hAnsi="Times New Roman"/>
                <w:szCs w:val="24"/>
                <w:lang w:val="en-US"/>
              </w:rPr>
            </w:pPr>
            <w:r>
              <w:rPr>
                <w:rFonts w:ascii="Times New Roman" w:hAnsi="Times New Roman"/>
                <w:szCs w:val="24"/>
                <w:lang w:val="en-US"/>
              </w:rPr>
              <w:t>Local NGO</w:t>
            </w:r>
          </w:p>
        </w:tc>
        <w:tc>
          <w:tcPr>
            <w:tcW w:w="2763" w:type="dxa"/>
          </w:tcPr>
          <w:p w14:paraId="7CC1430F">
            <w:pPr>
              <w:spacing w:line="240" w:lineRule="auto"/>
              <w:jc w:val="both"/>
              <w:rPr>
                <w:rFonts w:ascii="Times New Roman" w:hAnsi="Times New Roman"/>
                <w:szCs w:val="24"/>
                <w:lang w:val="en-US"/>
              </w:rPr>
            </w:pPr>
            <w:r>
              <w:rPr>
                <w:rFonts w:ascii="Times New Roman" w:hAnsi="Times New Roman"/>
                <w:szCs w:val="24"/>
                <w:lang w:val="en-US"/>
              </w:rPr>
              <w:t>Cost to be met from the contractors’ budget</w:t>
            </w:r>
          </w:p>
          <w:p w14:paraId="1D3699BA">
            <w:pPr>
              <w:spacing w:line="240" w:lineRule="auto"/>
              <w:jc w:val="both"/>
              <w:rPr>
                <w:rFonts w:ascii="Times New Roman" w:hAnsi="Times New Roman"/>
                <w:b/>
                <w:bCs/>
                <w:szCs w:val="24"/>
                <w:lang w:val="en-US"/>
              </w:rPr>
            </w:pPr>
            <w:r>
              <w:rPr>
                <w:rFonts w:ascii="Times New Roman" w:hAnsi="Times New Roman"/>
                <w:b/>
                <w:bCs/>
                <w:szCs w:val="24"/>
                <w:lang w:val="en-US"/>
              </w:rPr>
              <w:t>Kshs. 25,000</w:t>
            </w:r>
          </w:p>
        </w:tc>
      </w:tr>
      <w:tr w14:paraId="4D95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5CA1683">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14CE7D2E">
            <w:pPr>
              <w:spacing w:line="240" w:lineRule="auto"/>
              <w:jc w:val="both"/>
              <w:rPr>
                <w:rFonts w:ascii="Times New Roman" w:hAnsi="Times New Roman"/>
                <w:szCs w:val="24"/>
                <w:lang w:val="en-US"/>
              </w:rPr>
            </w:pPr>
            <w:r>
              <w:rPr>
                <w:rFonts w:ascii="Times New Roman" w:hAnsi="Times New Roman"/>
                <w:szCs w:val="24"/>
                <w:lang w:val="en-US"/>
              </w:rPr>
              <w:t>Crime Management</w:t>
            </w:r>
          </w:p>
        </w:tc>
        <w:tc>
          <w:tcPr>
            <w:tcW w:w="7654" w:type="dxa"/>
          </w:tcPr>
          <w:p w14:paraId="50A4FC2A">
            <w:pPr>
              <w:pStyle w:val="32"/>
              <w:numPr>
                <w:ilvl w:val="0"/>
                <w:numId w:val="83"/>
              </w:numPr>
              <w:spacing w:line="240" w:lineRule="auto"/>
              <w:jc w:val="both"/>
              <w:rPr>
                <w:rFonts w:ascii="Times New Roman" w:hAnsi="Times New Roman"/>
                <w:szCs w:val="24"/>
              </w:rPr>
            </w:pPr>
            <w:r>
              <w:rPr>
                <w:rFonts w:ascii="Times New Roman" w:hAnsi="Times New Roman"/>
                <w:szCs w:val="24"/>
              </w:rPr>
              <w:t>Fencing around project area.</w:t>
            </w:r>
          </w:p>
          <w:p w14:paraId="646AC8C6">
            <w:pPr>
              <w:pStyle w:val="32"/>
              <w:numPr>
                <w:ilvl w:val="0"/>
                <w:numId w:val="83"/>
              </w:numPr>
              <w:spacing w:line="240" w:lineRule="auto"/>
              <w:jc w:val="both"/>
              <w:rPr>
                <w:rFonts w:ascii="Times New Roman" w:hAnsi="Times New Roman"/>
                <w:szCs w:val="24"/>
              </w:rPr>
            </w:pPr>
            <w:r>
              <w:rPr>
                <w:rFonts w:ascii="Times New Roman" w:hAnsi="Times New Roman"/>
                <w:szCs w:val="24"/>
              </w:rPr>
              <w:t>Working with local committees (e.g., “Nyumba Kumi Initiative) to provide security within the site in addition to the Contractor’s own security.</w:t>
            </w:r>
          </w:p>
          <w:p w14:paraId="6FA534E2">
            <w:pPr>
              <w:pStyle w:val="32"/>
              <w:numPr>
                <w:ilvl w:val="0"/>
                <w:numId w:val="83"/>
              </w:numPr>
              <w:spacing w:line="240" w:lineRule="auto"/>
              <w:jc w:val="both"/>
              <w:rPr>
                <w:rFonts w:ascii="Times New Roman" w:hAnsi="Times New Roman"/>
                <w:szCs w:val="24"/>
              </w:rPr>
            </w:pPr>
            <w:r>
              <w:rPr>
                <w:rFonts w:ascii="Times New Roman" w:hAnsi="Times New Roman"/>
                <w:szCs w:val="24"/>
              </w:rPr>
              <w:t>Removing any employee who persists in any misconduct or lack of care, carries out duties incompetently or negligently, fails to conform to any provisions of the contract, or persists in any conduct which is prejudicial to safety, health, or the protection of the environment.</w:t>
            </w:r>
          </w:p>
          <w:p w14:paraId="2FEAC3F4">
            <w:pPr>
              <w:pStyle w:val="32"/>
              <w:numPr>
                <w:ilvl w:val="0"/>
                <w:numId w:val="83"/>
              </w:numPr>
              <w:spacing w:line="240" w:lineRule="auto"/>
              <w:jc w:val="both"/>
              <w:rPr>
                <w:rFonts w:ascii="Times New Roman" w:hAnsi="Times New Roman"/>
                <w:szCs w:val="24"/>
              </w:rPr>
            </w:pPr>
            <w:r>
              <w:rPr>
                <w:rFonts w:ascii="Times New Roman" w:hAnsi="Times New Roman"/>
                <w:szCs w:val="24"/>
              </w:rPr>
              <w:t>Taking all reasonable precautions to prevent unlawful, riotous or disorderly conduct by or amongst the contractor’s personnel, and to preserve peace and protection of persons and property on and near the site.</w:t>
            </w:r>
          </w:p>
          <w:p w14:paraId="5C6C393C">
            <w:pPr>
              <w:pStyle w:val="32"/>
              <w:numPr>
                <w:ilvl w:val="0"/>
                <w:numId w:val="83"/>
              </w:numPr>
              <w:spacing w:line="240" w:lineRule="auto"/>
              <w:jc w:val="both"/>
              <w:rPr>
                <w:rFonts w:ascii="Times New Roman" w:hAnsi="Times New Roman"/>
                <w:szCs w:val="24"/>
              </w:rPr>
            </w:pPr>
            <w:r>
              <w:rPr>
                <w:rFonts w:ascii="Times New Roman" w:hAnsi="Times New Roman"/>
                <w:szCs w:val="24"/>
              </w:rPr>
              <w:t>Prohibiting alcohol, drugs, arms, and ammunition on the worksite among personnel.</w:t>
            </w:r>
          </w:p>
          <w:p w14:paraId="3EDCAB95">
            <w:pPr>
              <w:pStyle w:val="32"/>
              <w:numPr>
                <w:ilvl w:val="0"/>
                <w:numId w:val="83"/>
              </w:numPr>
              <w:spacing w:line="240" w:lineRule="auto"/>
              <w:jc w:val="both"/>
              <w:rPr>
                <w:rFonts w:ascii="Times New Roman" w:hAnsi="Times New Roman"/>
                <w:szCs w:val="24"/>
              </w:rPr>
            </w:pPr>
            <w:r>
              <w:rPr>
                <w:rFonts w:ascii="Times New Roman" w:hAnsi="Times New Roman"/>
                <w:szCs w:val="24"/>
              </w:rPr>
              <w:t>The contractor and Supervision Consultant should register in a log all events of a criminal nature that occur at the worksite.</w:t>
            </w:r>
          </w:p>
          <w:p w14:paraId="32AF457A">
            <w:pPr>
              <w:pStyle w:val="32"/>
              <w:numPr>
                <w:ilvl w:val="0"/>
                <w:numId w:val="83"/>
              </w:numPr>
              <w:spacing w:line="240" w:lineRule="auto"/>
              <w:jc w:val="both"/>
              <w:rPr>
                <w:rFonts w:ascii="Times New Roman" w:hAnsi="Times New Roman"/>
                <w:szCs w:val="24"/>
              </w:rPr>
            </w:pPr>
            <w:r>
              <w:rPr>
                <w:rFonts w:ascii="Times New Roman" w:hAnsi="Times New Roman"/>
                <w:szCs w:val="24"/>
              </w:rPr>
              <w:t>The contractor and Supervision Consultant should report all activities of a criminal nature on the worksite or by the contractor’s employees (whether on or off the worksite) to the police and undertake the necessary follow-up. Crime reports should include nature of the offense, location, date, time, and all other pertinent details.</w:t>
            </w:r>
          </w:p>
        </w:tc>
        <w:tc>
          <w:tcPr>
            <w:tcW w:w="1701" w:type="dxa"/>
          </w:tcPr>
          <w:p w14:paraId="090924B4">
            <w:pPr>
              <w:spacing w:line="240" w:lineRule="auto"/>
              <w:jc w:val="both"/>
              <w:rPr>
                <w:rFonts w:ascii="Times New Roman" w:hAnsi="Times New Roman"/>
                <w:szCs w:val="24"/>
                <w:lang w:val="en-US"/>
              </w:rPr>
            </w:pPr>
            <w:r>
              <w:rPr>
                <w:rFonts w:ascii="Times New Roman" w:hAnsi="Times New Roman"/>
                <w:szCs w:val="24"/>
                <w:lang w:val="en-US"/>
              </w:rPr>
              <w:t xml:space="preserve">Contractor </w:t>
            </w:r>
          </w:p>
          <w:p w14:paraId="3ED1B687">
            <w:pPr>
              <w:spacing w:line="240" w:lineRule="auto"/>
              <w:jc w:val="both"/>
              <w:rPr>
                <w:rFonts w:ascii="Times New Roman" w:hAnsi="Times New Roman"/>
                <w:szCs w:val="24"/>
                <w:lang w:val="en-US"/>
              </w:rPr>
            </w:pPr>
            <w:r>
              <w:rPr>
                <w:rFonts w:ascii="Times New Roman" w:hAnsi="Times New Roman"/>
                <w:szCs w:val="24"/>
                <w:lang w:val="en-US"/>
              </w:rPr>
              <w:t>Resident Engineer</w:t>
            </w:r>
          </w:p>
        </w:tc>
        <w:tc>
          <w:tcPr>
            <w:tcW w:w="2763" w:type="dxa"/>
          </w:tcPr>
          <w:p w14:paraId="0E54282C">
            <w:pPr>
              <w:spacing w:line="240" w:lineRule="auto"/>
              <w:jc w:val="both"/>
              <w:rPr>
                <w:rFonts w:ascii="Times New Roman" w:hAnsi="Times New Roman"/>
                <w:szCs w:val="24"/>
                <w:lang w:val="en-US"/>
              </w:rPr>
            </w:pPr>
            <w:r>
              <w:rPr>
                <w:rFonts w:ascii="Times New Roman" w:hAnsi="Times New Roman"/>
                <w:szCs w:val="24"/>
                <w:lang w:val="en-US"/>
              </w:rPr>
              <w:t>No additional Costs</w:t>
            </w:r>
          </w:p>
        </w:tc>
      </w:tr>
      <w:tr w14:paraId="6AA5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5" w:hRule="atLeast"/>
        </w:trPr>
        <w:tc>
          <w:tcPr>
            <w:tcW w:w="1560" w:type="dxa"/>
          </w:tcPr>
          <w:p w14:paraId="06CA33F5">
            <w:pPr>
              <w:spacing w:line="240" w:lineRule="auto"/>
              <w:jc w:val="both"/>
              <w:rPr>
                <w:rFonts w:ascii="Times New Roman" w:hAnsi="Times New Roman"/>
                <w:szCs w:val="24"/>
                <w:lang w:val="en-US"/>
              </w:rPr>
            </w:pPr>
            <w:r>
              <w:rPr>
                <w:rFonts w:ascii="Times New Roman" w:hAnsi="Times New Roman"/>
                <w:szCs w:val="24"/>
                <w:lang w:val="en-US"/>
              </w:rPr>
              <w:t>Construction</w:t>
            </w:r>
          </w:p>
        </w:tc>
        <w:tc>
          <w:tcPr>
            <w:tcW w:w="1701" w:type="dxa"/>
          </w:tcPr>
          <w:p w14:paraId="1637FD05">
            <w:pPr>
              <w:spacing w:line="240" w:lineRule="auto"/>
              <w:jc w:val="both"/>
              <w:rPr>
                <w:rFonts w:ascii="Times New Roman" w:hAnsi="Times New Roman"/>
                <w:szCs w:val="24"/>
                <w:lang w:val="en-US"/>
              </w:rPr>
            </w:pPr>
            <w:r>
              <w:rPr>
                <w:rFonts w:ascii="Times New Roman" w:hAnsi="Times New Roman"/>
                <w:szCs w:val="24"/>
                <w:lang w:val="en-US"/>
              </w:rPr>
              <w:t xml:space="preserve">Generation of solid and liquid waste </w:t>
            </w:r>
          </w:p>
        </w:tc>
        <w:tc>
          <w:tcPr>
            <w:tcW w:w="7654" w:type="dxa"/>
          </w:tcPr>
          <w:p w14:paraId="7CF27970">
            <w:pPr>
              <w:numPr>
                <w:ilvl w:val="0"/>
                <w:numId w:val="84"/>
              </w:numPr>
              <w:spacing w:line="240" w:lineRule="auto"/>
              <w:jc w:val="both"/>
              <w:rPr>
                <w:rFonts w:ascii="Times New Roman" w:hAnsi="Times New Roman"/>
                <w:szCs w:val="24"/>
              </w:rPr>
            </w:pPr>
            <w:r>
              <w:rPr>
                <w:rFonts w:ascii="Times New Roman" w:hAnsi="Times New Roman"/>
                <w:szCs w:val="24"/>
              </w:rPr>
              <w:t>Sorting of all wastes collected by the dustbins before transporting to the relevant facilities.</w:t>
            </w:r>
          </w:p>
          <w:p w14:paraId="7D29A89B">
            <w:pPr>
              <w:numPr>
                <w:ilvl w:val="0"/>
                <w:numId w:val="84"/>
              </w:numPr>
              <w:spacing w:line="240" w:lineRule="auto"/>
              <w:jc w:val="both"/>
              <w:rPr>
                <w:rFonts w:ascii="Times New Roman" w:hAnsi="Times New Roman"/>
                <w:szCs w:val="24"/>
              </w:rPr>
            </w:pPr>
            <w:r>
              <w:rPr>
                <w:rFonts w:ascii="Times New Roman" w:hAnsi="Times New Roman"/>
                <w:szCs w:val="24"/>
              </w:rPr>
              <w:t xml:space="preserve">Continuous removal of solid waste to prevent overloading of the drainage system to ensure its efficiency </w:t>
            </w:r>
          </w:p>
          <w:p w14:paraId="42364A4E">
            <w:pPr>
              <w:numPr>
                <w:ilvl w:val="0"/>
                <w:numId w:val="84"/>
              </w:numPr>
              <w:spacing w:line="240" w:lineRule="auto"/>
              <w:jc w:val="both"/>
              <w:rPr>
                <w:rFonts w:ascii="Times New Roman" w:hAnsi="Times New Roman"/>
                <w:szCs w:val="24"/>
              </w:rPr>
            </w:pPr>
            <w:r>
              <w:rPr>
                <w:rFonts w:ascii="Times New Roman" w:hAnsi="Times New Roman"/>
                <w:szCs w:val="24"/>
              </w:rPr>
              <w:t>All transporters used should have a license from NEMA.</w:t>
            </w:r>
          </w:p>
        </w:tc>
        <w:tc>
          <w:tcPr>
            <w:tcW w:w="1701" w:type="dxa"/>
          </w:tcPr>
          <w:p w14:paraId="37CD5FE3">
            <w:pPr>
              <w:spacing w:after="0" w:line="240" w:lineRule="auto"/>
              <w:jc w:val="both"/>
              <w:rPr>
                <w:rFonts w:ascii="Times New Roman" w:hAnsi="Times New Roman"/>
                <w:szCs w:val="24"/>
                <w:lang w:val="en-US"/>
              </w:rPr>
            </w:pPr>
            <w:r>
              <w:rPr>
                <w:rFonts w:ascii="Times New Roman" w:hAnsi="Times New Roman"/>
                <w:szCs w:val="24"/>
                <w:lang w:val="en-US"/>
              </w:rPr>
              <w:t>KIMAWASCO</w:t>
            </w:r>
          </w:p>
          <w:p w14:paraId="5CE4613A">
            <w:pPr>
              <w:spacing w:after="0" w:line="240" w:lineRule="auto"/>
              <w:jc w:val="both"/>
              <w:rPr>
                <w:rFonts w:ascii="Times New Roman" w:hAnsi="Times New Roman"/>
                <w:szCs w:val="24"/>
                <w:lang w:val="en-US"/>
              </w:rPr>
            </w:pPr>
            <w:r>
              <w:rPr>
                <w:rFonts w:ascii="Times New Roman" w:hAnsi="Times New Roman"/>
                <w:szCs w:val="24"/>
                <w:lang w:val="en-US"/>
              </w:rPr>
              <w:t>Contractor</w:t>
            </w:r>
          </w:p>
        </w:tc>
        <w:tc>
          <w:tcPr>
            <w:tcW w:w="2763" w:type="dxa"/>
          </w:tcPr>
          <w:p w14:paraId="4072DF23">
            <w:pPr>
              <w:spacing w:line="240" w:lineRule="auto"/>
              <w:jc w:val="both"/>
              <w:rPr>
                <w:rFonts w:ascii="Times New Roman" w:hAnsi="Times New Roman"/>
                <w:szCs w:val="24"/>
                <w:lang w:val="en-US"/>
              </w:rPr>
            </w:pPr>
            <w:r>
              <w:rPr>
                <w:rFonts w:ascii="Times New Roman" w:hAnsi="Times New Roman"/>
                <w:szCs w:val="24"/>
                <w:lang w:val="en-US"/>
              </w:rPr>
              <w:t xml:space="preserve"> </w:t>
            </w:r>
            <w:r>
              <w:rPr>
                <w:rFonts w:ascii="Times New Roman" w:hAnsi="Times New Roman"/>
                <w:b/>
                <w:szCs w:val="24"/>
                <w:lang w:val="en-US"/>
              </w:rPr>
              <w:t>2500.0</w:t>
            </w:r>
            <w:r>
              <w:rPr>
                <w:rFonts w:ascii="Times New Roman" w:hAnsi="Times New Roman"/>
                <w:szCs w:val="24"/>
                <w:lang w:val="en-US"/>
              </w:rPr>
              <w:t xml:space="preserve">0 to cater for solid waste management such as colour coded bins (red-hazardous, yellow-recyclable &amp; green-organic); as well as sealed collection drums for used oil disposal. </w:t>
            </w:r>
          </w:p>
          <w:p w14:paraId="11E71F3A">
            <w:pPr>
              <w:spacing w:line="240" w:lineRule="auto"/>
              <w:jc w:val="both"/>
              <w:rPr>
                <w:rFonts w:ascii="Times New Roman" w:hAnsi="Times New Roman"/>
                <w:szCs w:val="24"/>
                <w:lang w:val="en-US"/>
              </w:rPr>
            </w:pPr>
            <w:r>
              <w:rPr>
                <w:rFonts w:ascii="Times New Roman" w:hAnsi="Times New Roman"/>
                <w:b/>
                <w:szCs w:val="24"/>
                <w:lang w:val="en-US"/>
              </w:rPr>
              <w:t>4,170.00</w:t>
            </w:r>
            <w:r>
              <w:rPr>
                <w:rFonts w:ascii="Times New Roman" w:hAnsi="Times New Roman"/>
                <w:szCs w:val="24"/>
                <w:lang w:val="en-US"/>
              </w:rPr>
              <w:t xml:space="preserve"> cater for the capital of acquiring dustbins to be used during the operation period of the project. Other costs to be included in the O&amp;M Manual. </w:t>
            </w:r>
          </w:p>
        </w:tc>
      </w:tr>
      <w:tr w14:paraId="6DCE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60" w:type="dxa"/>
          </w:tcPr>
          <w:p w14:paraId="740D4A01">
            <w:pPr>
              <w:spacing w:line="240" w:lineRule="auto"/>
              <w:jc w:val="both"/>
              <w:rPr>
                <w:rFonts w:ascii="Times New Roman" w:hAnsi="Times New Roman"/>
                <w:szCs w:val="24"/>
                <w:lang w:val="en-US"/>
              </w:rPr>
            </w:pPr>
            <w:r>
              <w:rPr>
                <w:rFonts w:ascii="Times New Roman" w:hAnsi="Times New Roman"/>
                <w:szCs w:val="24"/>
                <w:lang w:val="en-US"/>
              </w:rPr>
              <w:t xml:space="preserve">Operation </w:t>
            </w:r>
          </w:p>
        </w:tc>
        <w:tc>
          <w:tcPr>
            <w:tcW w:w="1701" w:type="dxa"/>
          </w:tcPr>
          <w:p w14:paraId="3CDD0F4F">
            <w:pPr>
              <w:spacing w:line="240" w:lineRule="auto"/>
              <w:jc w:val="both"/>
              <w:rPr>
                <w:rFonts w:ascii="Times New Roman" w:hAnsi="Times New Roman"/>
                <w:szCs w:val="24"/>
                <w:lang w:val="en-US"/>
              </w:rPr>
            </w:pPr>
            <w:r>
              <w:rPr>
                <w:rFonts w:ascii="Times New Roman" w:hAnsi="Times New Roman"/>
                <w:szCs w:val="24"/>
                <w:lang w:val="en-US"/>
              </w:rPr>
              <w:t xml:space="preserve">Air Quality </w:t>
            </w:r>
          </w:p>
        </w:tc>
        <w:tc>
          <w:tcPr>
            <w:tcW w:w="7654" w:type="dxa"/>
          </w:tcPr>
          <w:p w14:paraId="07A128C9">
            <w:pPr>
              <w:numPr>
                <w:ilvl w:val="0"/>
                <w:numId w:val="85"/>
              </w:numPr>
              <w:spacing w:after="0" w:line="240" w:lineRule="auto"/>
              <w:jc w:val="both"/>
              <w:rPr>
                <w:rFonts w:ascii="Times New Roman" w:hAnsi="Times New Roman"/>
                <w:szCs w:val="24"/>
              </w:rPr>
            </w:pPr>
            <w:r>
              <w:rPr>
                <w:rFonts w:ascii="Times New Roman" w:hAnsi="Times New Roman"/>
                <w:szCs w:val="24"/>
              </w:rPr>
              <w:t xml:space="preserve">Provide adequate framework for disposal of septic waste from ablution block and an adequate provision for the sludge drying beds to handle the waste generated by the ablution block. </w:t>
            </w:r>
          </w:p>
          <w:p w14:paraId="4CA66DC0">
            <w:pPr>
              <w:numPr>
                <w:ilvl w:val="0"/>
                <w:numId w:val="85"/>
              </w:numPr>
              <w:spacing w:after="0" w:line="240" w:lineRule="auto"/>
              <w:jc w:val="both"/>
              <w:rPr>
                <w:rFonts w:ascii="Times New Roman" w:hAnsi="Times New Roman"/>
                <w:szCs w:val="24"/>
              </w:rPr>
            </w:pPr>
            <w:r>
              <w:rPr>
                <w:rFonts w:ascii="Times New Roman" w:hAnsi="Times New Roman"/>
                <w:szCs w:val="24"/>
              </w:rPr>
              <w:t xml:space="preserve">Constant monitoring of the behaviour of the ablution block to prevent overflow of septic waste which may render the facility toxic. </w:t>
            </w:r>
          </w:p>
          <w:p w14:paraId="27CD4A93">
            <w:pPr>
              <w:numPr>
                <w:ilvl w:val="0"/>
                <w:numId w:val="85"/>
              </w:numPr>
              <w:spacing w:after="0" w:line="240" w:lineRule="auto"/>
              <w:jc w:val="both"/>
              <w:rPr>
                <w:rFonts w:ascii="Times New Roman" w:hAnsi="Times New Roman"/>
                <w:szCs w:val="24"/>
              </w:rPr>
            </w:pPr>
            <w:r>
              <w:rPr>
                <w:rFonts w:ascii="Times New Roman" w:hAnsi="Times New Roman"/>
                <w:szCs w:val="24"/>
              </w:rPr>
              <w:t xml:space="preserve">Ensure reliable water supply to the ablution block and regular cleaning </w:t>
            </w:r>
          </w:p>
          <w:p w14:paraId="09B2AB7E">
            <w:pPr>
              <w:numPr>
                <w:ilvl w:val="0"/>
                <w:numId w:val="85"/>
              </w:numPr>
              <w:spacing w:after="0" w:line="240" w:lineRule="auto"/>
              <w:jc w:val="both"/>
              <w:rPr>
                <w:rFonts w:ascii="Times New Roman" w:hAnsi="Times New Roman"/>
                <w:szCs w:val="24"/>
              </w:rPr>
            </w:pPr>
            <w:r>
              <w:rPr>
                <w:rFonts w:ascii="Times New Roman" w:hAnsi="Times New Roman"/>
                <w:szCs w:val="24"/>
              </w:rPr>
              <w:t>Odours generated by the facility can be controlled by use of suppressants.</w:t>
            </w:r>
          </w:p>
        </w:tc>
        <w:tc>
          <w:tcPr>
            <w:tcW w:w="1701" w:type="dxa"/>
          </w:tcPr>
          <w:p w14:paraId="2669BC32">
            <w:pPr>
              <w:spacing w:line="240" w:lineRule="auto"/>
              <w:jc w:val="both"/>
              <w:rPr>
                <w:rFonts w:ascii="Times New Roman" w:hAnsi="Times New Roman"/>
                <w:szCs w:val="24"/>
                <w:lang w:val="en-US"/>
              </w:rPr>
            </w:pPr>
            <w:r>
              <w:rPr>
                <w:rFonts w:ascii="Times New Roman" w:hAnsi="Times New Roman"/>
                <w:szCs w:val="24"/>
                <w:lang w:val="en-US"/>
              </w:rPr>
              <w:t>KIMAWASCO</w:t>
            </w:r>
          </w:p>
        </w:tc>
        <w:tc>
          <w:tcPr>
            <w:tcW w:w="2763" w:type="dxa"/>
          </w:tcPr>
          <w:p w14:paraId="41657F37">
            <w:pPr>
              <w:spacing w:line="240" w:lineRule="auto"/>
              <w:jc w:val="both"/>
              <w:rPr>
                <w:rFonts w:ascii="Times New Roman" w:hAnsi="Times New Roman"/>
                <w:szCs w:val="24"/>
                <w:lang w:val="en-US"/>
              </w:rPr>
            </w:pPr>
            <w:r>
              <w:rPr>
                <w:rFonts w:ascii="Times New Roman" w:hAnsi="Times New Roman"/>
                <w:szCs w:val="24"/>
                <w:lang w:val="en-US"/>
              </w:rPr>
              <w:t>No additional Cost</w:t>
            </w:r>
          </w:p>
        </w:tc>
      </w:tr>
      <w:tr w14:paraId="4B50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1560" w:type="dxa"/>
          </w:tcPr>
          <w:p w14:paraId="1968F659">
            <w:pPr>
              <w:spacing w:line="240" w:lineRule="auto"/>
              <w:jc w:val="both"/>
              <w:rPr>
                <w:rFonts w:ascii="Times New Roman" w:hAnsi="Times New Roman"/>
                <w:szCs w:val="24"/>
                <w:lang w:val="en-US"/>
              </w:rPr>
            </w:pPr>
            <w:r>
              <w:rPr>
                <w:rFonts w:ascii="Times New Roman" w:hAnsi="Times New Roman"/>
                <w:szCs w:val="24"/>
                <w:lang w:val="en-US"/>
              </w:rPr>
              <w:t>Operation</w:t>
            </w:r>
          </w:p>
        </w:tc>
        <w:tc>
          <w:tcPr>
            <w:tcW w:w="1701" w:type="dxa"/>
          </w:tcPr>
          <w:p w14:paraId="6ABF6435">
            <w:pPr>
              <w:spacing w:line="240" w:lineRule="auto"/>
              <w:jc w:val="both"/>
              <w:rPr>
                <w:rFonts w:ascii="Times New Roman" w:hAnsi="Times New Roman"/>
                <w:szCs w:val="24"/>
                <w:lang w:val="en-US"/>
              </w:rPr>
            </w:pPr>
            <w:r>
              <w:rPr>
                <w:rFonts w:ascii="Times New Roman" w:hAnsi="Times New Roman"/>
                <w:szCs w:val="24"/>
                <w:lang w:val="en-US"/>
              </w:rPr>
              <w:t>Solid and Liquid waste management</w:t>
            </w:r>
          </w:p>
        </w:tc>
        <w:tc>
          <w:tcPr>
            <w:tcW w:w="7654" w:type="dxa"/>
          </w:tcPr>
          <w:p w14:paraId="4B744814">
            <w:pPr>
              <w:pStyle w:val="32"/>
              <w:numPr>
                <w:ilvl w:val="0"/>
                <w:numId w:val="86"/>
              </w:numPr>
              <w:spacing w:line="240" w:lineRule="auto"/>
              <w:jc w:val="both"/>
              <w:rPr>
                <w:rFonts w:ascii="Times New Roman" w:hAnsi="Times New Roman"/>
                <w:szCs w:val="24"/>
                <w:lang w:val="en-US"/>
              </w:rPr>
            </w:pPr>
            <w:r>
              <w:rPr>
                <w:rFonts w:ascii="Times New Roman" w:hAnsi="Times New Roman"/>
                <w:szCs w:val="24"/>
                <w:lang w:val="en-US"/>
              </w:rPr>
              <w:t>Maintenance of proper hygiene in ablution block</w:t>
            </w:r>
          </w:p>
          <w:p w14:paraId="46FE06A6">
            <w:pPr>
              <w:pStyle w:val="32"/>
              <w:numPr>
                <w:ilvl w:val="0"/>
                <w:numId w:val="86"/>
              </w:numPr>
              <w:spacing w:line="240" w:lineRule="auto"/>
              <w:jc w:val="both"/>
              <w:rPr>
                <w:rFonts w:ascii="Times New Roman" w:hAnsi="Times New Roman"/>
                <w:szCs w:val="24"/>
                <w:lang w:val="en-US"/>
              </w:rPr>
            </w:pPr>
            <w:r>
              <w:rPr>
                <w:rFonts w:ascii="Times New Roman" w:hAnsi="Times New Roman"/>
                <w:szCs w:val="24"/>
              </w:rPr>
              <w:t>Regular emptying of attached septic tank to prevent filling and overflows</w:t>
            </w:r>
          </w:p>
        </w:tc>
        <w:tc>
          <w:tcPr>
            <w:tcW w:w="1701" w:type="dxa"/>
          </w:tcPr>
          <w:p w14:paraId="1A51F0EA">
            <w:pPr>
              <w:spacing w:line="240" w:lineRule="auto"/>
              <w:jc w:val="both"/>
              <w:rPr>
                <w:rFonts w:ascii="Times New Roman" w:hAnsi="Times New Roman"/>
                <w:szCs w:val="24"/>
                <w:lang w:val="en-US"/>
              </w:rPr>
            </w:pPr>
            <w:r>
              <w:rPr>
                <w:rFonts w:ascii="Times New Roman" w:hAnsi="Times New Roman"/>
                <w:szCs w:val="24"/>
                <w:lang w:val="en-US"/>
              </w:rPr>
              <w:t>KIMAWASCO</w:t>
            </w:r>
          </w:p>
        </w:tc>
        <w:tc>
          <w:tcPr>
            <w:tcW w:w="2763" w:type="dxa"/>
          </w:tcPr>
          <w:p w14:paraId="5493F5FB">
            <w:pPr>
              <w:spacing w:line="240" w:lineRule="auto"/>
              <w:jc w:val="both"/>
              <w:rPr>
                <w:rFonts w:ascii="Times New Roman" w:hAnsi="Times New Roman"/>
                <w:szCs w:val="24"/>
                <w:lang w:val="en-US"/>
              </w:rPr>
            </w:pPr>
            <w:r>
              <w:rPr>
                <w:rFonts w:ascii="Times New Roman" w:hAnsi="Times New Roman"/>
                <w:szCs w:val="24"/>
                <w:lang w:val="en-US"/>
              </w:rPr>
              <w:t>No additional cost</w:t>
            </w:r>
          </w:p>
        </w:tc>
      </w:tr>
      <w:tr w14:paraId="1B06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1560" w:type="dxa"/>
          </w:tcPr>
          <w:p w14:paraId="6B83540B">
            <w:pPr>
              <w:spacing w:line="240" w:lineRule="auto"/>
              <w:jc w:val="both"/>
              <w:rPr>
                <w:rFonts w:ascii="Times New Roman" w:hAnsi="Times New Roman"/>
                <w:szCs w:val="24"/>
                <w:lang w:val="en-US"/>
              </w:rPr>
            </w:pPr>
            <w:r>
              <w:rPr>
                <w:rFonts w:ascii="Times New Roman" w:hAnsi="Times New Roman"/>
                <w:szCs w:val="24"/>
                <w:lang w:val="en-US"/>
              </w:rPr>
              <w:t>Operation</w:t>
            </w:r>
          </w:p>
        </w:tc>
        <w:tc>
          <w:tcPr>
            <w:tcW w:w="1701" w:type="dxa"/>
          </w:tcPr>
          <w:p w14:paraId="283C2614">
            <w:pPr>
              <w:spacing w:line="240" w:lineRule="auto"/>
              <w:jc w:val="both"/>
              <w:rPr>
                <w:rFonts w:ascii="Times New Roman" w:hAnsi="Times New Roman"/>
                <w:szCs w:val="24"/>
                <w:lang w:val="en-US"/>
              </w:rPr>
            </w:pPr>
            <w:r>
              <w:rPr>
                <w:rFonts w:ascii="Times New Roman" w:hAnsi="Times New Roman"/>
                <w:szCs w:val="24"/>
                <w:lang w:val="en-US"/>
              </w:rPr>
              <w:t>Mosquito breeding and disease transmission</w:t>
            </w:r>
          </w:p>
        </w:tc>
        <w:tc>
          <w:tcPr>
            <w:tcW w:w="7654" w:type="dxa"/>
          </w:tcPr>
          <w:p w14:paraId="268D9F50">
            <w:pPr>
              <w:numPr>
                <w:ilvl w:val="0"/>
                <w:numId w:val="87"/>
              </w:numPr>
              <w:spacing w:after="0" w:line="240" w:lineRule="auto"/>
              <w:jc w:val="both"/>
              <w:rPr>
                <w:rFonts w:ascii="Times New Roman" w:hAnsi="Times New Roman"/>
                <w:szCs w:val="24"/>
                <w:lang w:val="en-US"/>
              </w:rPr>
            </w:pPr>
            <w:r>
              <w:rPr>
                <w:rFonts w:ascii="Times New Roman" w:hAnsi="Times New Roman"/>
                <w:szCs w:val="24"/>
                <w:lang w:val="en-US"/>
              </w:rPr>
              <w:t>Eliminate spillage and all unnecessary standing water.</w:t>
            </w:r>
          </w:p>
          <w:p w14:paraId="222595EF">
            <w:pPr>
              <w:numPr>
                <w:ilvl w:val="0"/>
                <w:numId w:val="87"/>
              </w:numPr>
              <w:spacing w:after="0" w:line="240" w:lineRule="auto"/>
              <w:jc w:val="both"/>
              <w:rPr>
                <w:rFonts w:ascii="Times New Roman" w:hAnsi="Times New Roman"/>
                <w:szCs w:val="24"/>
                <w:lang w:val="en-US"/>
              </w:rPr>
            </w:pPr>
            <w:r>
              <w:rPr>
                <w:rFonts w:ascii="Times New Roman" w:hAnsi="Times New Roman"/>
                <w:szCs w:val="24"/>
                <w:lang w:val="en-US"/>
              </w:rPr>
              <w:t xml:space="preserve">Ensure that the covers to the septic tank manholes are maintained properly closed at all times. </w:t>
            </w:r>
          </w:p>
          <w:p w14:paraId="16F5AB72">
            <w:pPr>
              <w:numPr>
                <w:ilvl w:val="0"/>
                <w:numId w:val="87"/>
              </w:numPr>
              <w:spacing w:after="0" w:line="240" w:lineRule="auto"/>
              <w:jc w:val="both"/>
              <w:rPr>
                <w:rFonts w:ascii="Times New Roman" w:hAnsi="Times New Roman"/>
                <w:szCs w:val="24"/>
                <w:lang w:val="en-US"/>
              </w:rPr>
            </w:pPr>
            <w:r>
              <w:rPr>
                <w:rFonts w:ascii="Times New Roman" w:hAnsi="Times New Roman"/>
                <w:szCs w:val="24"/>
                <w:lang w:val="en-US"/>
              </w:rPr>
              <w:t>The septic tank should be emptied regularly to avoid it filling up and overflowing</w:t>
            </w:r>
          </w:p>
        </w:tc>
        <w:tc>
          <w:tcPr>
            <w:tcW w:w="1701" w:type="dxa"/>
          </w:tcPr>
          <w:p w14:paraId="69BF020A">
            <w:pPr>
              <w:spacing w:line="240" w:lineRule="auto"/>
              <w:jc w:val="both"/>
              <w:rPr>
                <w:rFonts w:ascii="Times New Roman" w:hAnsi="Times New Roman"/>
                <w:szCs w:val="24"/>
                <w:lang w:val="en-US"/>
              </w:rPr>
            </w:pPr>
            <w:r>
              <w:rPr>
                <w:rFonts w:ascii="Times New Roman" w:hAnsi="Times New Roman"/>
                <w:szCs w:val="24"/>
                <w:lang w:val="en-US"/>
              </w:rPr>
              <w:t>KIMAWASCO</w:t>
            </w:r>
          </w:p>
        </w:tc>
        <w:tc>
          <w:tcPr>
            <w:tcW w:w="2763" w:type="dxa"/>
          </w:tcPr>
          <w:p w14:paraId="5FBE1A5D">
            <w:pPr>
              <w:spacing w:line="240" w:lineRule="auto"/>
              <w:jc w:val="both"/>
              <w:rPr>
                <w:rFonts w:ascii="Times New Roman" w:hAnsi="Times New Roman"/>
                <w:szCs w:val="24"/>
                <w:lang w:val="en-US"/>
              </w:rPr>
            </w:pPr>
            <w:r>
              <w:rPr>
                <w:rFonts w:ascii="Times New Roman" w:hAnsi="Times New Roman"/>
                <w:szCs w:val="24"/>
                <w:lang w:val="en-US"/>
              </w:rPr>
              <w:t>No additional costs</w:t>
            </w:r>
          </w:p>
        </w:tc>
      </w:tr>
      <w:tr w14:paraId="274B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1560" w:type="dxa"/>
          </w:tcPr>
          <w:p w14:paraId="5C0739D1">
            <w:pPr>
              <w:spacing w:line="240" w:lineRule="auto"/>
              <w:jc w:val="both"/>
              <w:rPr>
                <w:rFonts w:ascii="Times New Roman" w:hAnsi="Times New Roman"/>
                <w:szCs w:val="24"/>
                <w:lang w:val="en-US"/>
              </w:rPr>
            </w:pPr>
            <w:r>
              <w:rPr>
                <w:rFonts w:ascii="Times New Roman" w:hAnsi="Times New Roman"/>
                <w:szCs w:val="24"/>
                <w:lang w:val="en-US"/>
              </w:rPr>
              <w:t>Operation</w:t>
            </w:r>
          </w:p>
        </w:tc>
        <w:tc>
          <w:tcPr>
            <w:tcW w:w="1701" w:type="dxa"/>
          </w:tcPr>
          <w:p w14:paraId="1C41F79F">
            <w:pPr>
              <w:spacing w:line="240" w:lineRule="auto"/>
              <w:jc w:val="both"/>
              <w:rPr>
                <w:rFonts w:ascii="Times New Roman" w:hAnsi="Times New Roman"/>
                <w:szCs w:val="24"/>
                <w:lang w:val="en-US"/>
              </w:rPr>
            </w:pPr>
            <w:r>
              <w:rPr>
                <w:rFonts w:ascii="Times New Roman" w:hAnsi="Times New Roman"/>
                <w:szCs w:val="24"/>
                <w:lang w:val="en-US"/>
              </w:rPr>
              <w:t>Safety risks</w:t>
            </w:r>
          </w:p>
        </w:tc>
        <w:tc>
          <w:tcPr>
            <w:tcW w:w="7654" w:type="dxa"/>
          </w:tcPr>
          <w:p w14:paraId="29C5496F">
            <w:pPr>
              <w:numPr>
                <w:ilvl w:val="0"/>
                <w:numId w:val="87"/>
              </w:numPr>
              <w:spacing w:after="0" w:line="240" w:lineRule="auto"/>
              <w:jc w:val="both"/>
              <w:rPr>
                <w:rFonts w:ascii="Times New Roman" w:hAnsi="Times New Roman"/>
                <w:szCs w:val="24"/>
                <w:lang w:val="en-US"/>
              </w:rPr>
            </w:pPr>
            <w:r>
              <w:rPr>
                <w:rFonts w:ascii="Times New Roman" w:hAnsi="Times New Roman"/>
                <w:szCs w:val="24"/>
                <w:lang w:val="en-US"/>
              </w:rPr>
              <w:t>Formulate and enforce standard operation and maintenance procedures including for cleaning and provide requisite PPE to the cleaners and operations and maintenance staff</w:t>
            </w:r>
          </w:p>
          <w:p w14:paraId="109EE36C">
            <w:pPr>
              <w:numPr>
                <w:ilvl w:val="0"/>
                <w:numId w:val="87"/>
              </w:numPr>
              <w:spacing w:after="0" w:line="240" w:lineRule="auto"/>
              <w:jc w:val="both"/>
              <w:rPr>
                <w:rFonts w:ascii="Times New Roman" w:hAnsi="Times New Roman"/>
                <w:szCs w:val="24"/>
                <w:lang w:val="en-US"/>
              </w:rPr>
            </w:pPr>
            <w:r>
              <w:rPr>
                <w:rFonts w:ascii="Times New Roman" w:hAnsi="Times New Roman"/>
                <w:szCs w:val="24"/>
                <w:lang w:val="en-US"/>
              </w:rPr>
              <w:t>Display hygiene posters to create awareness on good hygiene practices</w:t>
            </w:r>
          </w:p>
          <w:p w14:paraId="3A874D46">
            <w:pPr>
              <w:numPr>
                <w:ilvl w:val="0"/>
                <w:numId w:val="87"/>
              </w:numPr>
              <w:spacing w:after="0" w:line="240" w:lineRule="auto"/>
              <w:jc w:val="both"/>
              <w:rPr>
                <w:rFonts w:ascii="Times New Roman" w:hAnsi="Times New Roman"/>
                <w:szCs w:val="24"/>
                <w:lang w:val="en-US"/>
              </w:rPr>
            </w:pPr>
            <w:r>
              <w:rPr>
                <w:rFonts w:ascii="Times New Roman" w:hAnsi="Times New Roman"/>
                <w:szCs w:val="24"/>
                <w:lang w:val="en-US"/>
              </w:rPr>
              <w:t>Undertake workers training and awareness on the occupation safety and health risks and the SOPs</w:t>
            </w:r>
          </w:p>
          <w:p w14:paraId="73AC4241">
            <w:pPr>
              <w:numPr>
                <w:ilvl w:val="0"/>
                <w:numId w:val="87"/>
              </w:numPr>
              <w:spacing w:after="0" w:line="240" w:lineRule="auto"/>
              <w:jc w:val="both"/>
              <w:rPr>
                <w:rFonts w:ascii="Times New Roman" w:hAnsi="Times New Roman"/>
                <w:szCs w:val="24"/>
                <w:lang w:val="en-US"/>
              </w:rPr>
            </w:pPr>
            <w:r>
              <w:rPr>
                <w:rFonts w:ascii="Times New Roman" w:hAnsi="Times New Roman"/>
                <w:szCs w:val="24"/>
                <w:lang w:val="en-US"/>
              </w:rPr>
              <w:t>Ensure all works and storage areas are tidy, all material deliveries shall be planned to minimize accumulated materials</w:t>
            </w:r>
          </w:p>
          <w:p w14:paraId="3276B0EC">
            <w:pPr>
              <w:numPr>
                <w:ilvl w:val="0"/>
                <w:numId w:val="87"/>
              </w:numPr>
              <w:spacing w:after="0" w:line="240" w:lineRule="auto"/>
              <w:jc w:val="both"/>
              <w:rPr>
                <w:rFonts w:ascii="Times New Roman" w:hAnsi="Times New Roman"/>
                <w:szCs w:val="24"/>
                <w:lang w:val="en-US"/>
              </w:rPr>
            </w:pPr>
            <w:r>
              <w:rPr>
                <w:rFonts w:ascii="Times New Roman" w:hAnsi="Times New Roman"/>
                <w:szCs w:val="24"/>
                <w:lang w:val="en-US"/>
              </w:rPr>
              <w:t>Fire extinguishers should be located at identified fire points around the site. The extinguishers shall be appropriate to the nature of the potential fire.</w:t>
            </w:r>
          </w:p>
          <w:p w14:paraId="0E6E2A93">
            <w:pPr>
              <w:numPr>
                <w:ilvl w:val="0"/>
                <w:numId w:val="87"/>
              </w:numPr>
              <w:spacing w:after="0" w:line="240" w:lineRule="auto"/>
              <w:jc w:val="both"/>
              <w:rPr>
                <w:rFonts w:ascii="Times New Roman" w:hAnsi="Times New Roman"/>
                <w:szCs w:val="24"/>
                <w:lang w:val="en-US"/>
              </w:rPr>
            </w:pPr>
            <w:r>
              <w:rPr>
                <w:rFonts w:ascii="Times New Roman" w:hAnsi="Times New Roman"/>
                <w:szCs w:val="24"/>
                <w:lang w:val="en-US"/>
              </w:rPr>
              <w:t>Establish and communicate emergency response plan with all parties</w:t>
            </w:r>
          </w:p>
          <w:p w14:paraId="3363FEE7">
            <w:pPr>
              <w:numPr>
                <w:ilvl w:val="0"/>
                <w:numId w:val="87"/>
              </w:numPr>
              <w:spacing w:after="0" w:line="240" w:lineRule="auto"/>
              <w:jc w:val="both"/>
              <w:rPr>
                <w:rFonts w:ascii="Times New Roman" w:hAnsi="Times New Roman"/>
                <w:szCs w:val="24"/>
                <w:lang w:val="en-US"/>
              </w:rPr>
            </w:pPr>
            <w:r>
              <w:rPr>
                <w:rFonts w:ascii="Times New Roman" w:hAnsi="Times New Roman"/>
                <w:szCs w:val="24"/>
                <w:lang w:val="en-US"/>
              </w:rPr>
              <w:t>First aid kit with adhesive bandages, antibiotic ointment, antiseptic wipes, aspirin, non-latex gloves, scissors, thermometer, etc. shall be made available</w:t>
            </w:r>
          </w:p>
          <w:p w14:paraId="1E36B1EC">
            <w:pPr>
              <w:numPr>
                <w:ilvl w:val="0"/>
                <w:numId w:val="87"/>
              </w:numPr>
              <w:spacing w:after="0" w:line="240" w:lineRule="auto"/>
              <w:jc w:val="both"/>
              <w:rPr>
                <w:rFonts w:ascii="Times New Roman" w:hAnsi="Times New Roman"/>
                <w:szCs w:val="24"/>
                <w:lang w:val="en-US"/>
              </w:rPr>
            </w:pPr>
            <w:r>
              <w:rPr>
                <w:rFonts w:ascii="Times New Roman" w:hAnsi="Times New Roman"/>
                <w:szCs w:val="24"/>
                <w:lang w:val="en-US"/>
              </w:rPr>
              <w:t>Conduct regular medical surveillance for cleaning and O&amp;M staff in line with the Medical Examination rules</w:t>
            </w:r>
          </w:p>
        </w:tc>
        <w:tc>
          <w:tcPr>
            <w:tcW w:w="1701" w:type="dxa"/>
          </w:tcPr>
          <w:p w14:paraId="33546195">
            <w:pPr>
              <w:spacing w:line="240" w:lineRule="auto"/>
              <w:jc w:val="both"/>
              <w:rPr>
                <w:rFonts w:ascii="Times New Roman" w:hAnsi="Times New Roman"/>
                <w:szCs w:val="24"/>
                <w:lang w:val="en-US"/>
              </w:rPr>
            </w:pPr>
            <w:r>
              <w:rPr>
                <w:rFonts w:ascii="Times New Roman" w:hAnsi="Times New Roman"/>
                <w:szCs w:val="24"/>
                <w:lang w:val="en-US"/>
              </w:rPr>
              <w:t>KIMAWASCO</w:t>
            </w:r>
          </w:p>
        </w:tc>
        <w:tc>
          <w:tcPr>
            <w:tcW w:w="2763" w:type="dxa"/>
          </w:tcPr>
          <w:p w14:paraId="47306978">
            <w:pPr>
              <w:spacing w:line="240" w:lineRule="auto"/>
              <w:jc w:val="both"/>
              <w:rPr>
                <w:rFonts w:ascii="Times New Roman" w:hAnsi="Times New Roman"/>
                <w:szCs w:val="24"/>
                <w:lang w:val="en-US"/>
              </w:rPr>
            </w:pPr>
            <w:r>
              <w:rPr>
                <w:rFonts w:ascii="Times New Roman" w:hAnsi="Times New Roman"/>
                <w:szCs w:val="24"/>
                <w:lang w:val="en-US"/>
              </w:rPr>
              <w:t>No additional costs</w:t>
            </w:r>
          </w:p>
        </w:tc>
      </w:tr>
      <w:bookmarkEnd w:id="682"/>
    </w:tbl>
    <w:p w14:paraId="03595BC9">
      <w:pPr>
        <w:spacing w:line="240" w:lineRule="auto"/>
        <w:rPr>
          <w:rFonts w:ascii="Times New Roman" w:hAnsi="Times New Roman"/>
          <w:szCs w:val="24"/>
        </w:rPr>
      </w:pPr>
      <w:bookmarkStart w:id="683" w:name="_Hlk191662202"/>
      <w:r>
        <w:rPr>
          <w:rFonts w:ascii="Times New Roman" w:hAnsi="Times New Roman"/>
          <w:szCs w:val="24"/>
        </w:rPr>
        <w:t>The estimated cost for implementing the ESMP during construction is Kshs.  242,420 (Two Hundred and Forty-Three two Thousand, Four  Hundred and twenty Kenyan Shillings) for the site</w:t>
      </w:r>
      <w:bookmarkEnd w:id="683"/>
      <w:r>
        <w:rPr>
          <w:rFonts w:ascii="Times New Roman" w:hAnsi="Times New Roman"/>
          <w:szCs w:val="24"/>
        </w:rPr>
        <w:t xml:space="preserve">. </w:t>
      </w:r>
    </w:p>
    <w:p w14:paraId="1622CE64">
      <w:pPr>
        <w:spacing w:line="240" w:lineRule="auto"/>
        <w:rPr>
          <w:rFonts w:ascii="Times New Roman" w:hAnsi="Times New Roman"/>
          <w:szCs w:val="24"/>
        </w:rPr>
        <w:sectPr>
          <w:pgSz w:w="16838" w:h="11906" w:orient="landscape"/>
          <w:pgMar w:top="1440" w:right="1440" w:bottom="1440" w:left="1440" w:header="720" w:footer="720" w:gutter="0"/>
          <w:cols w:space="720" w:num="1"/>
          <w:docGrid w:linePitch="360" w:charSpace="0"/>
        </w:sectPr>
      </w:pPr>
    </w:p>
    <w:p w14:paraId="505497C9">
      <w:pPr>
        <w:pStyle w:val="3"/>
        <w:spacing w:line="240" w:lineRule="auto"/>
        <w:rPr>
          <w:rFonts w:ascii="Times New Roman" w:hAnsi="Times New Roman" w:cs="Times New Roman"/>
          <w:sz w:val="24"/>
          <w:szCs w:val="24"/>
        </w:rPr>
      </w:pPr>
      <w:bookmarkStart w:id="684" w:name="_Toc32179"/>
      <w:bookmarkStart w:id="685" w:name="_Toc220710868"/>
      <w:bookmarkStart w:id="686" w:name="_Toc7170"/>
      <w:bookmarkStart w:id="687" w:name="_Toc8284"/>
      <w:r>
        <w:rPr>
          <w:rFonts w:ascii="Times New Roman" w:hAnsi="Times New Roman" w:cs="Times New Roman"/>
          <w:sz w:val="24"/>
          <w:szCs w:val="24"/>
        </w:rPr>
        <w:t>8.7</w:t>
      </w:r>
      <w:r>
        <w:rPr>
          <w:rFonts w:ascii="Times New Roman" w:hAnsi="Times New Roman" w:cs="Times New Roman"/>
          <w:sz w:val="24"/>
          <w:szCs w:val="24"/>
        </w:rPr>
        <w:tab/>
      </w:r>
      <w:r>
        <w:rPr>
          <w:rFonts w:ascii="Times New Roman" w:hAnsi="Times New Roman" w:cs="Times New Roman"/>
          <w:sz w:val="24"/>
          <w:szCs w:val="24"/>
        </w:rPr>
        <w:t>Environmental and Social Monitoring Plan</w:t>
      </w:r>
      <w:bookmarkEnd w:id="684"/>
      <w:bookmarkEnd w:id="685"/>
      <w:bookmarkEnd w:id="686"/>
      <w:bookmarkEnd w:id="687"/>
    </w:p>
    <w:p w14:paraId="584FE278">
      <w:pPr>
        <w:spacing w:line="240" w:lineRule="auto"/>
        <w:jc w:val="both"/>
        <w:rPr>
          <w:rFonts w:ascii="Times New Roman" w:hAnsi="Times New Roman"/>
          <w:szCs w:val="24"/>
        </w:rPr>
      </w:pPr>
      <w:r>
        <w:rPr>
          <w:rFonts w:ascii="Times New Roman" w:hAnsi="Times New Roman"/>
          <w:szCs w:val="24"/>
        </w:rPr>
        <w:t>The purpose of the Environmental and Social Monitoring Plan for the proposed project is to initiate a mechanism for implementing mitigation measures for the potential negative environmental impacts and monitor the efficiency of these mitigation measures based on relevant environmental indicators. The Environmental and Social Management Plan identified certain roles and responsibilities for different stakeholders for implementation, supervision and monitoring. The objectives of the Environmental and Social Monitoring Plan therefore are:</w:t>
      </w:r>
    </w:p>
    <w:p w14:paraId="0BAFF761">
      <w:pPr>
        <w:pStyle w:val="32"/>
        <w:numPr>
          <w:ilvl w:val="0"/>
          <w:numId w:val="88"/>
        </w:numPr>
        <w:spacing w:line="240" w:lineRule="auto"/>
        <w:jc w:val="both"/>
        <w:rPr>
          <w:rFonts w:ascii="Times New Roman" w:hAnsi="Times New Roman"/>
          <w:szCs w:val="24"/>
        </w:rPr>
      </w:pPr>
      <w:r>
        <w:rPr>
          <w:rFonts w:ascii="Times New Roman" w:hAnsi="Times New Roman"/>
          <w:szCs w:val="24"/>
        </w:rPr>
        <w:t xml:space="preserve">To ensure that the recommendations in the approved ESIA report are adhered to by the various institutions </w:t>
      </w:r>
    </w:p>
    <w:p w14:paraId="78B1F949">
      <w:pPr>
        <w:pStyle w:val="32"/>
        <w:numPr>
          <w:ilvl w:val="0"/>
          <w:numId w:val="88"/>
        </w:numPr>
        <w:spacing w:line="240" w:lineRule="auto"/>
        <w:jc w:val="both"/>
        <w:rPr>
          <w:rFonts w:ascii="Times New Roman" w:hAnsi="Times New Roman"/>
          <w:szCs w:val="24"/>
        </w:rPr>
      </w:pPr>
      <w:r>
        <w:rPr>
          <w:rFonts w:ascii="Times New Roman" w:hAnsi="Times New Roman"/>
          <w:szCs w:val="24"/>
        </w:rPr>
        <w:t xml:space="preserve">To ensure that the environmental and social mitigation and their enhancement actions are well understood and communicated to all involved stakeholders. </w:t>
      </w:r>
    </w:p>
    <w:p w14:paraId="5EB5566F">
      <w:pPr>
        <w:pStyle w:val="32"/>
        <w:numPr>
          <w:ilvl w:val="0"/>
          <w:numId w:val="88"/>
        </w:numPr>
        <w:spacing w:line="240" w:lineRule="auto"/>
        <w:jc w:val="both"/>
        <w:rPr>
          <w:rFonts w:ascii="Times New Roman" w:hAnsi="Times New Roman"/>
          <w:szCs w:val="24"/>
        </w:rPr>
      </w:pPr>
      <w:r>
        <w:rPr>
          <w:rFonts w:ascii="Times New Roman" w:hAnsi="Times New Roman"/>
          <w:szCs w:val="24"/>
        </w:rPr>
        <w:t xml:space="preserve">To ensure that the proposed environmental and social remedial measures are implemented during the project execution stage. </w:t>
      </w:r>
    </w:p>
    <w:p w14:paraId="6DC1D655">
      <w:pPr>
        <w:pStyle w:val="32"/>
        <w:numPr>
          <w:ilvl w:val="0"/>
          <w:numId w:val="88"/>
        </w:numPr>
        <w:spacing w:line="240" w:lineRule="auto"/>
        <w:jc w:val="both"/>
        <w:rPr>
          <w:rFonts w:ascii="Times New Roman" w:hAnsi="Times New Roman"/>
          <w:szCs w:val="24"/>
        </w:rPr>
      </w:pPr>
      <w:r>
        <w:rPr>
          <w:rFonts w:ascii="Times New Roman" w:hAnsi="Times New Roman"/>
          <w:szCs w:val="24"/>
        </w:rPr>
        <w:t xml:space="preserve">To evaluate the effectiveness of environmental and social remedial measures. </w:t>
      </w:r>
    </w:p>
    <w:p w14:paraId="40487E4E">
      <w:pPr>
        <w:pStyle w:val="32"/>
        <w:numPr>
          <w:ilvl w:val="0"/>
          <w:numId w:val="88"/>
        </w:numPr>
        <w:spacing w:line="240" w:lineRule="auto"/>
        <w:jc w:val="both"/>
        <w:rPr>
          <w:rFonts w:ascii="Times New Roman" w:hAnsi="Times New Roman"/>
          <w:szCs w:val="24"/>
        </w:rPr>
      </w:pPr>
      <w:r>
        <w:rPr>
          <w:rFonts w:ascii="Times New Roman" w:hAnsi="Times New Roman"/>
          <w:szCs w:val="24"/>
        </w:rPr>
        <w:t>To evaluate the effectiveness of various evaluation techniques and procedures.</w:t>
      </w:r>
    </w:p>
    <w:p w14:paraId="382240E4">
      <w:pPr>
        <w:pStyle w:val="32"/>
        <w:numPr>
          <w:ilvl w:val="0"/>
          <w:numId w:val="88"/>
        </w:numPr>
        <w:spacing w:line="240" w:lineRule="auto"/>
        <w:jc w:val="both"/>
        <w:rPr>
          <w:rFonts w:ascii="Times New Roman" w:hAnsi="Times New Roman"/>
          <w:szCs w:val="24"/>
        </w:rPr>
      </w:pPr>
      <w:r>
        <w:rPr>
          <w:rFonts w:ascii="Times New Roman" w:hAnsi="Times New Roman"/>
          <w:szCs w:val="24"/>
        </w:rPr>
        <w:t>To provide the Proponent and the relevant Lead Agencies with a framework to confirm compliance with relevant laws and regulations.</w:t>
      </w:r>
    </w:p>
    <w:p w14:paraId="15203A68">
      <w:pPr>
        <w:spacing w:line="240" w:lineRule="auto"/>
        <w:jc w:val="both"/>
        <w:rPr>
          <w:rFonts w:ascii="Times New Roman" w:hAnsi="Times New Roman"/>
          <w:szCs w:val="24"/>
        </w:rPr>
      </w:pPr>
      <w:r>
        <w:rPr>
          <w:rFonts w:ascii="Times New Roman" w:hAnsi="Times New Roman"/>
          <w:szCs w:val="24"/>
        </w:rPr>
        <w:t>Conversely, environmental monitoring provides feedback about the actual environmental impacts of the project. Monitoring results help judge the success of mitigation measures in protecting the environment.</w:t>
      </w:r>
    </w:p>
    <w:p w14:paraId="106D5784">
      <w:pPr>
        <w:spacing w:line="240" w:lineRule="auto"/>
        <w:jc w:val="both"/>
        <w:rPr>
          <w:rFonts w:ascii="Times New Roman" w:hAnsi="Times New Roman"/>
          <w:szCs w:val="24"/>
        </w:rPr>
      </w:pPr>
      <w:r>
        <w:rPr>
          <w:rFonts w:ascii="Times New Roman" w:hAnsi="Times New Roman"/>
          <w:szCs w:val="24"/>
        </w:rPr>
        <w:t xml:space="preserve">They are also used to ensure compliance with environmental standards, and to facilitate any needed project design or operational changes. A monitoring program, backed up by powers to ensure corrective action when the monitoring results show it necessary, is a proven way to ensure effective implementation of mitigation measures. By tracking the project’s actual impacts, monitoring reduces the environmental risks associated with the project and allows for project modifications to be made where required. </w:t>
      </w:r>
    </w:p>
    <w:p w14:paraId="4DC30B1D">
      <w:pPr>
        <w:spacing w:after="200" w:line="240" w:lineRule="auto"/>
        <w:jc w:val="both"/>
        <w:rPr>
          <w:rFonts w:ascii="Times New Roman" w:hAnsi="Times New Roman"/>
          <w:b/>
          <w:bCs/>
          <w:szCs w:val="24"/>
        </w:rPr>
      </w:pPr>
      <w:r>
        <w:rPr>
          <w:rFonts w:ascii="Times New Roman" w:hAnsi="Times New Roman"/>
          <w:b/>
          <w:bCs/>
          <w:szCs w:val="24"/>
        </w:rPr>
        <w:t>8.9</w:t>
      </w:r>
      <w:r>
        <w:rPr>
          <w:rFonts w:ascii="Times New Roman" w:hAnsi="Times New Roman"/>
          <w:b/>
          <w:bCs/>
          <w:szCs w:val="24"/>
        </w:rPr>
        <w:tab/>
      </w:r>
      <w:r>
        <w:rPr>
          <w:rFonts w:ascii="Times New Roman" w:hAnsi="Times New Roman"/>
          <w:b/>
          <w:bCs/>
          <w:szCs w:val="24"/>
        </w:rPr>
        <w:t xml:space="preserve">Reporting </w:t>
      </w:r>
    </w:p>
    <w:p w14:paraId="4E8E3F29">
      <w:pPr>
        <w:spacing w:after="200" w:line="240" w:lineRule="auto"/>
        <w:jc w:val="both"/>
        <w:rPr>
          <w:rFonts w:ascii="Times New Roman" w:hAnsi="Times New Roman"/>
          <w:szCs w:val="24"/>
        </w:rPr>
      </w:pPr>
      <w:r>
        <w:rPr>
          <w:rFonts w:ascii="Times New Roman" w:hAnsi="Times New Roman"/>
          <w:szCs w:val="24"/>
        </w:rPr>
        <w:t xml:space="preserve">During implementation, the Contractor will report monthly to the Project management team comprising of the Expert and KIMAWASCO on progress of implementation of the ESHS provisions detailed in this ESIA. </w:t>
      </w:r>
    </w:p>
    <w:p w14:paraId="4219E9C0">
      <w:pPr>
        <w:spacing w:after="200" w:line="240" w:lineRule="auto"/>
        <w:jc w:val="both"/>
        <w:rPr>
          <w:rFonts w:ascii="Times New Roman" w:hAnsi="Times New Roman"/>
          <w:szCs w:val="24"/>
          <w:lang w:val="en-US"/>
        </w:rPr>
      </w:pPr>
      <w:r>
        <w:rPr>
          <w:rFonts w:ascii="Times New Roman" w:hAnsi="Times New Roman"/>
          <w:szCs w:val="24"/>
          <w:lang w:val="en-US"/>
        </w:rPr>
        <w:t>In accordance with the requirement of the Occupational Health and Safety Act (OSHA) 2007, EMCA 1999 and its 2015 revisions, and World Bank EHS guidelines, all ESHS incidents, accidents, dangerous occurrences including occupational diseases shall be promptly reported to the respective regulatory institution in the prescribed manner and template outlined in DOSHS ML/DOSHS/FORM 1 and further to the World Bank. Records of All incidents shall also be maintained and available for inspection through the project implementation phase. Investigation shall be conducted, and a corrective action plan developed for every reportable incident to prevent recurrence.</w:t>
      </w:r>
    </w:p>
    <w:p w14:paraId="77294D21">
      <w:pPr>
        <w:spacing w:line="240" w:lineRule="auto"/>
        <w:jc w:val="both"/>
        <w:rPr>
          <w:rFonts w:ascii="Times New Roman" w:hAnsi="Times New Roman"/>
          <w:szCs w:val="24"/>
        </w:rPr>
      </w:pPr>
      <w:r>
        <w:rPr>
          <w:rFonts w:ascii="Times New Roman" w:hAnsi="Times New Roman"/>
          <w:szCs w:val="24"/>
        </w:rPr>
        <w:t>The table below presents the indicators that will be used to monitor the implementation of the sanitation project. The indicators are selected based on the project and major anticipated impacts.</w:t>
      </w:r>
    </w:p>
    <w:p w14:paraId="0680D7CA">
      <w:pPr>
        <w:spacing w:line="240" w:lineRule="auto"/>
        <w:rPr>
          <w:rFonts w:ascii="Times New Roman" w:hAnsi="Times New Roman"/>
          <w:szCs w:val="24"/>
        </w:rPr>
        <w:sectPr>
          <w:pgSz w:w="11906" w:h="16838"/>
          <w:pgMar w:top="1440" w:right="1440" w:bottom="1440" w:left="1440" w:header="720" w:footer="720" w:gutter="0"/>
          <w:cols w:space="720" w:num="1"/>
          <w:docGrid w:linePitch="360" w:charSpace="0"/>
        </w:sectPr>
      </w:pPr>
    </w:p>
    <w:p w14:paraId="17E309F9">
      <w:pPr>
        <w:pStyle w:val="10"/>
        <w:rPr>
          <w:rFonts w:ascii="Times New Roman" w:hAnsi="Times New Roman"/>
          <w:b/>
          <w:bCs/>
          <w:color w:val="auto"/>
        </w:rPr>
      </w:pPr>
      <w:bookmarkStart w:id="688" w:name="_Toc224740304"/>
      <w:r>
        <w:rPr>
          <w:rFonts w:ascii="Times New Roman" w:hAnsi="Times New Roman"/>
          <w:b/>
          <w:bCs/>
          <w:color w:val="auto"/>
        </w:rPr>
        <w:t xml:space="preserve">Table </w:t>
      </w:r>
      <w:r>
        <w:rPr>
          <w:rFonts w:ascii="Times New Roman" w:hAnsi="Times New Roman"/>
          <w:b/>
          <w:bCs/>
          <w:color w:val="auto"/>
        </w:rPr>
        <w:fldChar w:fldCharType="begin"/>
      </w:r>
      <w:r>
        <w:rPr>
          <w:rFonts w:ascii="Times New Roman" w:hAnsi="Times New Roman"/>
          <w:b/>
          <w:bCs/>
          <w:color w:val="auto"/>
        </w:rPr>
        <w:instrText xml:space="preserve"> SEQ Table \* ARABIC </w:instrText>
      </w:r>
      <w:r>
        <w:rPr>
          <w:rFonts w:ascii="Times New Roman" w:hAnsi="Times New Roman"/>
          <w:b/>
          <w:bCs/>
          <w:color w:val="auto"/>
        </w:rPr>
        <w:fldChar w:fldCharType="separate"/>
      </w:r>
      <w:r>
        <w:rPr>
          <w:rFonts w:ascii="Times New Roman" w:hAnsi="Times New Roman"/>
          <w:b/>
          <w:bCs/>
          <w:color w:val="auto"/>
        </w:rPr>
        <w:t>9</w:t>
      </w:r>
      <w:r>
        <w:rPr>
          <w:rFonts w:ascii="Times New Roman" w:hAnsi="Times New Roman"/>
          <w:b/>
          <w:bCs/>
          <w:color w:val="auto"/>
        </w:rPr>
        <w:fldChar w:fldCharType="end"/>
      </w:r>
      <w:bookmarkStart w:id="689" w:name="_Toc17267"/>
      <w:r>
        <w:rPr>
          <w:rFonts w:ascii="Times New Roman" w:hAnsi="Times New Roman"/>
          <w:b/>
          <w:bCs/>
          <w:color w:val="auto"/>
        </w:rPr>
        <w:t>: Proposed Environmental and Social Monitoring Plan</w:t>
      </w:r>
      <w:bookmarkEnd w:id="688"/>
      <w:bookmarkEnd w:id="689"/>
    </w:p>
    <w:tbl>
      <w:tblPr>
        <w:tblStyle w:val="7"/>
        <w:tblW w:w="1456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3"/>
        <w:gridCol w:w="1800"/>
        <w:gridCol w:w="3330"/>
        <w:gridCol w:w="2430"/>
        <w:gridCol w:w="1530"/>
        <w:gridCol w:w="1980"/>
        <w:gridCol w:w="1980"/>
      </w:tblGrid>
      <w:tr w14:paraId="57387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513" w:type="dxa"/>
            <w:vAlign w:val="center"/>
          </w:tcPr>
          <w:p w14:paraId="7C0241A9">
            <w:pPr>
              <w:spacing w:line="240" w:lineRule="auto"/>
              <w:rPr>
                <w:rFonts w:ascii="Times New Roman" w:hAnsi="Times New Roman"/>
                <w:b/>
                <w:szCs w:val="24"/>
              </w:rPr>
            </w:pPr>
            <w:r>
              <w:rPr>
                <w:rFonts w:ascii="Times New Roman" w:hAnsi="Times New Roman"/>
                <w:b/>
                <w:szCs w:val="24"/>
              </w:rPr>
              <w:t>Phase</w:t>
            </w:r>
          </w:p>
        </w:tc>
        <w:tc>
          <w:tcPr>
            <w:tcW w:w="1800" w:type="dxa"/>
            <w:vAlign w:val="center"/>
          </w:tcPr>
          <w:p w14:paraId="7D9DF70A">
            <w:pPr>
              <w:spacing w:line="240" w:lineRule="auto"/>
              <w:rPr>
                <w:rFonts w:ascii="Times New Roman" w:hAnsi="Times New Roman"/>
                <w:b/>
                <w:szCs w:val="24"/>
              </w:rPr>
            </w:pPr>
            <w:r>
              <w:rPr>
                <w:rFonts w:ascii="Times New Roman" w:hAnsi="Times New Roman"/>
                <w:b/>
                <w:szCs w:val="24"/>
              </w:rPr>
              <w:t>Environmental Component</w:t>
            </w:r>
          </w:p>
        </w:tc>
        <w:tc>
          <w:tcPr>
            <w:tcW w:w="3330" w:type="dxa"/>
            <w:vAlign w:val="center"/>
          </w:tcPr>
          <w:p w14:paraId="301B2435">
            <w:pPr>
              <w:spacing w:line="240" w:lineRule="auto"/>
              <w:rPr>
                <w:rFonts w:ascii="Times New Roman" w:hAnsi="Times New Roman"/>
                <w:b/>
                <w:szCs w:val="24"/>
              </w:rPr>
            </w:pPr>
            <w:r>
              <w:rPr>
                <w:rFonts w:ascii="Times New Roman" w:hAnsi="Times New Roman"/>
                <w:b/>
                <w:szCs w:val="24"/>
              </w:rPr>
              <w:t>Performance Indicators</w:t>
            </w:r>
          </w:p>
        </w:tc>
        <w:tc>
          <w:tcPr>
            <w:tcW w:w="2430" w:type="dxa"/>
            <w:vAlign w:val="center"/>
          </w:tcPr>
          <w:p w14:paraId="1C48DC8C">
            <w:pPr>
              <w:spacing w:line="240" w:lineRule="auto"/>
              <w:rPr>
                <w:rFonts w:ascii="Times New Roman" w:hAnsi="Times New Roman"/>
                <w:b/>
                <w:szCs w:val="24"/>
              </w:rPr>
            </w:pPr>
            <w:r>
              <w:rPr>
                <w:rFonts w:ascii="Times New Roman" w:hAnsi="Times New Roman"/>
                <w:b/>
                <w:szCs w:val="24"/>
              </w:rPr>
              <w:t>Monitoring Requirements</w:t>
            </w:r>
          </w:p>
        </w:tc>
        <w:tc>
          <w:tcPr>
            <w:tcW w:w="1530" w:type="dxa"/>
          </w:tcPr>
          <w:p w14:paraId="3241B1CA">
            <w:pPr>
              <w:spacing w:line="240" w:lineRule="auto"/>
              <w:rPr>
                <w:rFonts w:ascii="Times New Roman" w:hAnsi="Times New Roman"/>
                <w:b/>
                <w:szCs w:val="24"/>
              </w:rPr>
            </w:pPr>
            <w:r>
              <w:rPr>
                <w:rFonts w:ascii="Times New Roman" w:hAnsi="Times New Roman"/>
                <w:b/>
                <w:szCs w:val="24"/>
              </w:rPr>
              <w:t>Frequency of monitoring</w:t>
            </w:r>
          </w:p>
        </w:tc>
        <w:tc>
          <w:tcPr>
            <w:tcW w:w="1980" w:type="dxa"/>
          </w:tcPr>
          <w:p w14:paraId="1D4E5E70">
            <w:pPr>
              <w:spacing w:line="240" w:lineRule="auto"/>
              <w:rPr>
                <w:rFonts w:ascii="Times New Roman" w:hAnsi="Times New Roman"/>
                <w:b/>
                <w:szCs w:val="24"/>
              </w:rPr>
            </w:pPr>
            <w:r>
              <w:rPr>
                <w:rFonts w:ascii="Times New Roman" w:hAnsi="Times New Roman"/>
                <w:b/>
                <w:szCs w:val="24"/>
              </w:rPr>
              <w:t>Responsibility</w:t>
            </w:r>
          </w:p>
        </w:tc>
        <w:tc>
          <w:tcPr>
            <w:tcW w:w="1980" w:type="dxa"/>
            <w:vAlign w:val="center"/>
          </w:tcPr>
          <w:p w14:paraId="6289B02C">
            <w:pPr>
              <w:spacing w:line="240" w:lineRule="auto"/>
              <w:rPr>
                <w:rFonts w:ascii="Times New Roman" w:hAnsi="Times New Roman"/>
                <w:b/>
                <w:szCs w:val="24"/>
              </w:rPr>
            </w:pPr>
            <w:r>
              <w:rPr>
                <w:rFonts w:ascii="Times New Roman" w:hAnsi="Times New Roman"/>
                <w:b/>
                <w:szCs w:val="24"/>
              </w:rPr>
              <w:t>Corrective Action</w:t>
            </w:r>
          </w:p>
        </w:tc>
      </w:tr>
      <w:tr w14:paraId="60918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2D633B68">
            <w:pPr>
              <w:spacing w:line="240" w:lineRule="auto"/>
              <w:rPr>
                <w:rFonts w:ascii="Times New Roman" w:hAnsi="Times New Roman"/>
                <w:szCs w:val="24"/>
              </w:rPr>
            </w:pPr>
            <w:r>
              <w:rPr>
                <w:rFonts w:ascii="Times New Roman" w:hAnsi="Times New Roman"/>
                <w:szCs w:val="24"/>
              </w:rPr>
              <w:t>Construction</w:t>
            </w:r>
          </w:p>
        </w:tc>
        <w:tc>
          <w:tcPr>
            <w:tcW w:w="1800" w:type="dxa"/>
          </w:tcPr>
          <w:p w14:paraId="52EACC56">
            <w:pPr>
              <w:spacing w:line="240" w:lineRule="auto"/>
              <w:rPr>
                <w:rFonts w:ascii="Times New Roman" w:hAnsi="Times New Roman"/>
                <w:szCs w:val="24"/>
              </w:rPr>
            </w:pPr>
            <w:r>
              <w:rPr>
                <w:rFonts w:ascii="Times New Roman" w:hAnsi="Times New Roman"/>
                <w:szCs w:val="24"/>
              </w:rPr>
              <w:t>Increased Traffic hence Congestion</w:t>
            </w:r>
          </w:p>
        </w:tc>
        <w:tc>
          <w:tcPr>
            <w:tcW w:w="3330" w:type="dxa"/>
          </w:tcPr>
          <w:p w14:paraId="14ADEAFE">
            <w:pPr>
              <w:pStyle w:val="32"/>
              <w:numPr>
                <w:ilvl w:val="0"/>
                <w:numId w:val="89"/>
              </w:numPr>
              <w:spacing w:line="240" w:lineRule="auto"/>
              <w:rPr>
                <w:rFonts w:ascii="Times New Roman" w:hAnsi="Times New Roman"/>
                <w:szCs w:val="24"/>
              </w:rPr>
            </w:pPr>
            <w:r>
              <w:rPr>
                <w:rFonts w:ascii="Times New Roman" w:hAnsi="Times New Roman"/>
                <w:szCs w:val="24"/>
              </w:rPr>
              <w:t>Level of traffic generated.</w:t>
            </w:r>
          </w:p>
          <w:p w14:paraId="6F1CCD64">
            <w:pPr>
              <w:pStyle w:val="32"/>
              <w:numPr>
                <w:ilvl w:val="0"/>
                <w:numId w:val="89"/>
              </w:numPr>
              <w:spacing w:line="240" w:lineRule="auto"/>
              <w:rPr>
                <w:rFonts w:ascii="Times New Roman" w:hAnsi="Times New Roman"/>
                <w:szCs w:val="24"/>
              </w:rPr>
            </w:pPr>
            <w:r>
              <w:rPr>
                <w:rFonts w:ascii="Times New Roman" w:hAnsi="Times New Roman"/>
                <w:szCs w:val="24"/>
              </w:rPr>
              <w:t>provision and maintenance of adequate signages to reroute vehicles.</w:t>
            </w:r>
          </w:p>
        </w:tc>
        <w:tc>
          <w:tcPr>
            <w:tcW w:w="2430" w:type="dxa"/>
          </w:tcPr>
          <w:p w14:paraId="3F005B3B">
            <w:pPr>
              <w:pStyle w:val="32"/>
              <w:numPr>
                <w:ilvl w:val="0"/>
                <w:numId w:val="89"/>
              </w:numPr>
              <w:spacing w:line="240" w:lineRule="auto"/>
              <w:rPr>
                <w:rFonts w:ascii="Times New Roman" w:hAnsi="Times New Roman"/>
                <w:szCs w:val="24"/>
              </w:rPr>
            </w:pPr>
            <w:r>
              <w:rPr>
                <w:rFonts w:ascii="Times New Roman" w:hAnsi="Times New Roman"/>
                <w:szCs w:val="24"/>
              </w:rPr>
              <w:t>Physical inspection</w:t>
            </w:r>
          </w:p>
          <w:p w14:paraId="0BB8C17A">
            <w:pPr>
              <w:pStyle w:val="32"/>
              <w:numPr>
                <w:ilvl w:val="0"/>
                <w:numId w:val="89"/>
              </w:numPr>
              <w:spacing w:line="240" w:lineRule="auto"/>
              <w:rPr>
                <w:rFonts w:ascii="Times New Roman" w:hAnsi="Times New Roman"/>
                <w:szCs w:val="24"/>
              </w:rPr>
            </w:pPr>
            <w:r>
              <w:rPr>
                <w:rFonts w:ascii="Times New Roman" w:hAnsi="Times New Roman"/>
                <w:szCs w:val="24"/>
              </w:rPr>
              <w:t>Number of complaints</w:t>
            </w:r>
          </w:p>
        </w:tc>
        <w:tc>
          <w:tcPr>
            <w:tcW w:w="1530" w:type="dxa"/>
          </w:tcPr>
          <w:p w14:paraId="49E30D08">
            <w:pPr>
              <w:spacing w:line="240" w:lineRule="auto"/>
              <w:rPr>
                <w:rFonts w:ascii="Times New Roman" w:hAnsi="Times New Roman"/>
                <w:szCs w:val="24"/>
              </w:rPr>
            </w:pPr>
            <w:r>
              <w:rPr>
                <w:rFonts w:ascii="Times New Roman" w:hAnsi="Times New Roman"/>
                <w:szCs w:val="24"/>
              </w:rPr>
              <w:t>Weekly</w:t>
            </w:r>
          </w:p>
        </w:tc>
        <w:tc>
          <w:tcPr>
            <w:tcW w:w="1980" w:type="dxa"/>
          </w:tcPr>
          <w:p w14:paraId="2677D016">
            <w:pPr>
              <w:spacing w:line="240" w:lineRule="auto"/>
              <w:rPr>
                <w:rFonts w:ascii="Times New Roman" w:hAnsi="Times New Roman"/>
                <w:szCs w:val="24"/>
              </w:rPr>
            </w:pPr>
            <w:r>
              <w:rPr>
                <w:rFonts w:ascii="Times New Roman" w:hAnsi="Times New Roman"/>
                <w:szCs w:val="24"/>
              </w:rPr>
              <w:t>Environmental Supervisor</w:t>
            </w:r>
          </w:p>
          <w:p w14:paraId="5D76B036">
            <w:pPr>
              <w:spacing w:line="240" w:lineRule="auto"/>
              <w:rPr>
                <w:rFonts w:ascii="Times New Roman" w:hAnsi="Times New Roman"/>
                <w:szCs w:val="24"/>
              </w:rPr>
            </w:pPr>
            <w:r>
              <w:rPr>
                <w:rFonts w:ascii="Times New Roman" w:hAnsi="Times New Roman"/>
                <w:szCs w:val="24"/>
              </w:rPr>
              <w:t>Contractor</w:t>
            </w:r>
          </w:p>
        </w:tc>
        <w:tc>
          <w:tcPr>
            <w:tcW w:w="1980" w:type="dxa"/>
          </w:tcPr>
          <w:p w14:paraId="2D52E7C0">
            <w:pPr>
              <w:spacing w:line="240" w:lineRule="auto"/>
              <w:rPr>
                <w:rFonts w:ascii="Times New Roman" w:hAnsi="Times New Roman"/>
                <w:szCs w:val="24"/>
              </w:rPr>
            </w:pPr>
            <w:r>
              <w:rPr>
                <w:rFonts w:ascii="Times New Roman" w:hAnsi="Times New Roman"/>
                <w:szCs w:val="24"/>
              </w:rPr>
              <w:t>Implement recommendations</w:t>
            </w:r>
          </w:p>
        </w:tc>
      </w:tr>
      <w:tr w14:paraId="76772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4AC0B18D">
            <w:pPr>
              <w:spacing w:line="240" w:lineRule="auto"/>
              <w:rPr>
                <w:rFonts w:ascii="Times New Roman" w:hAnsi="Times New Roman"/>
                <w:szCs w:val="24"/>
              </w:rPr>
            </w:pPr>
            <w:r>
              <w:rPr>
                <w:rFonts w:ascii="Times New Roman" w:hAnsi="Times New Roman"/>
                <w:szCs w:val="24"/>
              </w:rPr>
              <w:t>Construction</w:t>
            </w:r>
          </w:p>
        </w:tc>
        <w:tc>
          <w:tcPr>
            <w:tcW w:w="1800" w:type="dxa"/>
          </w:tcPr>
          <w:p w14:paraId="5D685BEB">
            <w:pPr>
              <w:spacing w:line="240" w:lineRule="auto"/>
              <w:rPr>
                <w:rFonts w:ascii="Times New Roman" w:hAnsi="Times New Roman"/>
                <w:szCs w:val="24"/>
              </w:rPr>
            </w:pPr>
            <w:r>
              <w:rPr>
                <w:rFonts w:ascii="Times New Roman" w:hAnsi="Times New Roman"/>
                <w:szCs w:val="24"/>
              </w:rPr>
              <w:t>Ambient air quality</w:t>
            </w:r>
          </w:p>
        </w:tc>
        <w:tc>
          <w:tcPr>
            <w:tcW w:w="3330" w:type="dxa"/>
          </w:tcPr>
          <w:p w14:paraId="079B1D37">
            <w:pPr>
              <w:pStyle w:val="32"/>
              <w:numPr>
                <w:ilvl w:val="0"/>
                <w:numId w:val="89"/>
              </w:numPr>
              <w:spacing w:line="240" w:lineRule="auto"/>
              <w:rPr>
                <w:rFonts w:ascii="Times New Roman" w:hAnsi="Times New Roman"/>
                <w:szCs w:val="24"/>
              </w:rPr>
            </w:pPr>
            <w:r>
              <w:rPr>
                <w:rFonts w:ascii="Times New Roman" w:hAnsi="Times New Roman"/>
                <w:szCs w:val="24"/>
              </w:rPr>
              <w:t>Level of dust generated.</w:t>
            </w:r>
          </w:p>
          <w:p w14:paraId="64BC8E76">
            <w:pPr>
              <w:pStyle w:val="32"/>
              <w:numPr>
                <w:ilvl w:val="0"/>
                <w:numId w:val="89"/>
              </w:numPr>
              <w:spacing w:line="240" w:lineRule="auto"/>
              <w:rPr>
                <w:rFonts w:ascii="Times New Roman" w:hAnsi="Times New Roman"/>
                <w:szCs w:val="24"/>
              </w:rPr>
            </w:pPr>
            <w:r>
              <w:rPr>
                <w:rFonts w:ascii="Times New Roman" w:hAnsi="Times New Roman"/>
                <w:szCs w:val="24"/>
              </w:rPr>
              <w:t>Provision of PPE.</w:t>
            </w:r>
          </w:p>
          <w:p w14:paraId="30B229A6">
            <w:pPr>
              <w:pStyle w:val="32"/>
              <w:numPr>
                <w:ilvl w:val="0"/>
                <w:numId w:val="89"/>
              </w:numPr>
              <w:spacing w:line="240" w:lineRule="auto"/>
              <w:rPr>
                <w:rFonts w:ascii="Times New Roman" w:hAnsi="Times New Roman"/>
                <w:szCs w:val="24"/>
              </w:rPr>
            </w:pPr>
            <w:r>
              <w:rPr>
                <w:rFonts w:ascii="Times New Roman" w:hAnsi="Times New Roman"/>
                <w:szCs w:val="24"/>
              </w:rPr>
              <w:t>Respiratory infections reported in the nearby health facility.</w:t>
            </w:r>
          </w:p>
        </w:tc>
        <w:tc>
          <w:tcPr>
            <w:tcW w:w="2430" w:type="dxa"/>
          </w:tcPr>
          <w:p w14:paraId="3DF4848B">
            <w:pPr>
              <w:pStyle w:val="32"/>
              <w:numPr>
                <w:ilvl w:val="0"/>
                <w:numId w:val="89"/>
              </w:numPr>
              <w:spacing w:line="240" w:lineRule="auto"/>
              <w:rPr>
                <w:rFonts w:ascii="Times New Roman" w:hAnsi="Times New Roman"/>
                <w:szCs w:val="24"/>
              </w:rPr>
            </w:pPr>
            <w:r>
              <w:rPr>
                <w:rFonts w:ascii="Times New Roman" w:hAnsi="Times New Roman"/>
                <w:szCs w:val="24"/>
              </w:rPr>
              <w:t>Physical inspection</w:t>
            </w:r>
          </w:p>
          <w:p w14:paraId="688DAE06">
            <w:pPr>
              <w:pStyle w:val="32"/>
              <w:numPr>
                <w:ilvl w:val="0"/>
                <w:numId w:val="89"/>
              </w:numPr>
              <w:spacing w:line="240" w:lineRule="auto"/>
              <w:rPr>
                <w:rFonts w:ascii="Times New Roman" w:hAnsi="Times New Roman"/>
                <w:szCs w:val="24"/>
              </w:rPr>
            </w:pPr>
            <w:r>
              <w:rPr>
                <w:rFonts w:ascii="Times New Roman" w:hAnsi="Times New Roman"/>
                <w:szCs w:val="24"/>
              </w:rPr>
              <w:t>Interview residents including workers</w:t>
            </w:r>
          </w:p>
          <w:p w14:paraId="1E59FABE">
            <w:pPr>
              <w:pStyle w:val="32"/>
              <w:numPr>
                <w:ilvl w:val="0"/>
                <w:numId w:val="89"/>
              </w:numPr>
              <w:spacing w:line="240" w:lineRule="auto"/>
              <w:rPr>
                <w:rFonts w:ascii="Times New Roman" w:hAnsi="Times New Roman"/>
                <w:szCs w:val="24"/>
              </w:rPr>
            </w:pPr>
            <w:r>
              <w:rPr>
                <w:rFonts w:ascii="Times New Roman" w:hAnsi="Times New Roman"/>
                <w:szCs w:val="24"/>
              </w:rPr>
              <w:t>Liaise with other stakeholders</w:t>
            </w:r>
          </w:p>
        </w:tc>
        <w:tc>
          <w:tcPr>
            <w:tcW w:w="1530" w:type="dxa"/>
          </w:tcPr>
          <w:p w14:paraId="7CF50756">
            <w:pPr>
              <w:spacing w:line="240" w:lineRule="auto"/>
              <w:rPr>
                <w:rFonts w:ascii="Times New Roman" w:hAnsi="Times New Roman"/>
                <w:szCs w:val="24"/>
              </w:rPr>
            </w:pPr>
            <w:r>
              <w:rPr>
                <w:rFonts w:ascii="Times New Roman" w:hAnsi="Times New Roman"/>
                <w:szCs w:val="24"/>
              </w:rPr>
              <w:t>Weekly</w:t>
            </w:r>
          </w:p>
        </w:tc>
        <w:tc>
          <w:tcPr>
            <w:tcW w:w="1980" w:type="dxa"/>
          </w:tcPr>
          <w:p w14:paraId="5F2776E9">
            <w:pPr>
              <w:spacing w:line="240" w:lineRule="auto"/>
              <w:rPr>
                <w:rFonts w:ascii="Times New Roman" w:hAnsi="Times New Roman"/>
                <w:szCs w:val="24"/>
              </w:rPr>
            </w:pPr>
            <w:r>
              <w:rPr>
                <w:rFonts w:ascii="Times New Roman" w:hAnsi="Times New Roman"/>
                <w:szCs w:val="24"/>
              </w:rPr>
              <w:t>Environmental Supervisor</w:t>
            </w:r>
          </w:p>
        </w:tc>
        <w:tc>
          <w:tcPr>
            <w:tcW w:w="1980" w:type="dxa"/>
          </w:tcPr>
          <w:p w14:paraId="0809AE7A">
            <w:pPr>
              <w:spacing w:line="240" w:lineRule="auto"/>
              <w:rPr>
                <w:rFonts w:ascii="Times New Roman" w:hAnsi="Times New Roman"/>
                <w:szCs w:val="24"/>
              </w:rPr>
            </w:pPr>
            <w:r>
              <w:rPr>
                <w:rFonts w:ascii="Times New Roman" w:hAnsi="Times New Roman"/>
                <w:szCs w:val="24"/>
              </w:rPr>
              <w:t>Implement recommendations</w:t>
            </w:r>
          </w:p>
        </w:tc>
      </w:tr>
      <w:tr w14:paraId="38C6D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54E0DABD">
            <w:pPr>
              <w:spacing w:line="240" w:lineRule="auto"/>
              <w:rPr>
                <w:rFonts w:ascii="Times New Roman" w:hAnsi="Times New Roman"/>
                <w:szCs w:val="24"/>
              </w:rPr>
            </w:pPr>
            <w:r>
              <w:rPr>
                <w:rFonts w:ascii="Times New Roman" w:hAnsi="Times New Roman"/>
                <w:szCs w:val="24"/>
              </w:rPr>
              <w:t>Construction</w:t>
            </w:r>
          </w:p>
        </w:tc>
        <w:tc>
          <w:tcPr>
            <w:tcW w:w="1800" w:type="dxa"/>
          </w:tcPr>
          <w:p w14:paraId="5134688A">
            <w:pPr>
              <w:spacing w:line="240" w:lineRule="auto"/>
              <w:rPr>
                <w:rFonts w:ascii="Times New Roman" w:hAnsi="Times New Roman"/>
                <w:szCs w:val="24"/>
              </w:rPr>
            </w:pPr>
            <w:r>
              <w:rPr>
                <w:rFonts w:ascii="Times New Roman" w:hAnsi="Times New Roman"/>
                <w:szCs w:val="24"/>
              </w:rPr>
              <w:t>Site Related Oil Spills</w:t>
            </w:r>
          </w:p>
        </w:tc>
        <w:tc>
          <w:tcPr>
            <w:tcW w:w="3330" w:type="dxa"/>
          </w:tcPr>
          <w:p w14:paraId="629B54D7">
            <w:pPr>
              <w:pStyle w:val="32"/>
              <w:numPr>
                <w:ilvl w:val="0"/>
                <w:numId w:val="89"/>
              </w:numPr>
              <w:spacing w:line="240" w:lineRule="auto"/>
              <w:rPr>
                <w:rFonts w:ascii="Times New Roman" w:hAnsi="Times New Roman"/>
                <w:szCs w:val="24"/>
              </w:rPr>
            </w:pPr>
            <w:r>
              <w:rPr>
                <w:rFonts w:ascii="Times New Roman" w:hAnsi="Times New Roman"/>
                <w:szCs w:val="24"/>
              </w:rPr>
              <w:t>Presence of oil spillage due to the construction activities.</w:t>
            </w:r>
          </w:p>
          <w:p w14:paraId="7C12ACB8">
            <w:pPr>
              <w:pStyle w:val="32"/>
              <w:numPr>
                <w:ilvl w:val="0"/>
                <w:numId w:val="89"/>
              </w:numPr>
              <w:spacing w:line="240" w:lineRule="auto"/>
              <w:rPr>
                <w:rFonts w:ascii="Times New Roman" w:hAnsi="Times New Roman"/>
                <w:szCs w:val="24"/>
              </w:rPr>
            </w:pPr>
            <w:r>
              <w:rPr>
                <w:rFonts w:ascii="Times New Roman" w:hAnsi="Times New Roman"/>
                <w:szCs w:val="24"/>
              </w:rPr>
              <w:t xml:space="preserve">Availability of approved plan to cater for oil spills </w:t>
            </w:r>
          </w:p>
        </w:tc>
        <w:tc>
          <w:tcPr>
            <w:tcW w:w="2430" w:type="dxa"/>
          </w:tcPr>
          <w:p w14:paraId="73790F45">
            <w:pPr>
              <w:pStyle w:val="32"/>
              <w:numPr>
                <w:ilvl w:val="0"/>
                <w:numId w:val="89"/>
              </w:numPr>
              <w:spacing w:line="240" w:lineRule="auto"/>
              <w:rPr>
                <w:rFonts w:ascii="Times New Roman" w:hAnsi="Times New Roman"/>
                <w:szCs w:val="24"/>
              </w:rPr>
            </w:pPr>
            <w:r>
              <w:rPr>
                <w:rFonts w:ascii="Times New Roman" w:hAnsi="Times New Roman"/>
                <w:szCs w:val="24"/>
              </w:rPr>
              <w:t>Physical inspection</w:t>
            </w:r>
          </w:p>
          <w:p w14:paraId="064BB0CC">
            <w:pPr>
              <w:pStyle w:val="32"/>
              <w:numPr>
                <w:ilvl w:val="0"/>
                <w:numId w:val="89"/>
              </w:numPr>
              <w:spacing w:line="240" w:lineRule="auto"/>
              <w:rPr>
                <w:rFonts w:ascii="Times New Roman" w:hAnsi="Times New Roman"/>
                <w:szCs w:val="24"/>
              </w:rPr>
            </w:pPr>
            <w:r>
              <w:rPr>
                <w:rFonts w:ascii="Times New Roman" w:hAnsi="Times New Roman"/>
                <w:szCs w:val="24"/>
              </w:rPr>
              <w:t>Number of complaints</w:t>
            </w:r>
          </w:p>
        </w:tc>
        <w:tc>
          <w:tcPr>
            <w:tcW w:w="1530" w:type="dxa"/>
          </w:tcPr>
          <w:p w14:paraId="20CA36C9">
            <w:pPr>
              <w:spacing w:line="240" w:lineRule="auto"/>
              <w:rPr>
                <w:rFonts w:ascii="Times New Roman" w:hAnsi="Times New Roman"/>
                <w:szCs w:val="24"/>
              </w:rPr>
            </w:pPr>
            <w:r>
              <w:rPr>
                <w:rFonts w:ascii="Times New Roman" w:hAnsi="Times New Roman"/>
                <w:szCs w:val="24"/>
              </w:rPr>
              <w:t>Monthly</w:t>
            </w:r>
          </w:p>
        </w:tc>
        <w:tc>
          <w:tcPr>
            <w:tcW w:w="1980" w:type="dxa"/>
          </w:tcPr>
          <w:p w14:paraId="08A48B19">
            <w:pPr>
              <w:spacing w:line="240" w:lineRule="auto"/>
              <w:rPr>
                <w:rFonts w:ascii="Times New Roman" w:hAnsi="Times New Roman"/>
                <w:szCs w:val="24"/>
              </w:rPr>
            </w:pPr>
            <w:r>
              <w:rPr>
                <w:rFonts w:ascii="Times New Roman" w:hAnsi="Times New Roman"/>
                <w:szCs w:val="24"/>
              </w:rPr>
              <w:t>Environmental Supervisor</w:t>
            </w:r>
          </w:p>
          <w:p w14:paraId="2B78FBE6">
            <w:pPr>
              <w:spacing w:line="240" w:lineRule="auto"/>
              <w:rPr>
                <w:rFonts w:ascii="Times New Roman" w:hAnsi="Times New Roman"/>
                <w:szCs w:val="24"/>
              </w:rPr>
            </w:pPr>
            <w:r>
              <w:rPr>
                <w:rFonts w:ascii="Times New Roman" w:hAnsi="Times New Roman"/>
                <w:szCs w:val="24"/>
              </w:rPr>
              <w:t>Contractor</w:t>
            </w:r>
          </w:p>
        </w:tc>
        <w:tc>
          <w:tcPr>
            <w:tcW w:w="1980" w:type="dxa"/>
          </w:tcPr>
          <w:p w14:paraId="5B647AC6">
            <w:pPr>
              <w:spacing w:line="240" w:lineRule="auto"/>
              <w:rPr>
                <w:rFonts w:ascii="Times New Roman" w:hAnsi="Times New Roman"/>
                <w:szCs w:val="24"/>
              </w:rPr>
            </w:pPr>
            <w:r>
              <w:rPr>
                <w:rFonts w:ascii="Times New Roman" w:hAnsi="Times New Roman"/>
                <w:szCs w:val="24"/>
              </w:rPr>
              <w:t>Implement recommendations</w:t>
            </w:r>
          </w:p>
        </w:tc>
      </w:tr>
      <w:tr w14:paraId="49E80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4041E760">
            <w:pPr>
              <w:spacing w:line="240" w:lineRule="auto"/>
              <w:rPr>
                <w:rFonts w:ascii="Times New Roman" w:hAnsi="Times New Roman"/>
                <w:szCs w:val="24"/>
              </w:rPr>
            </w:pPr>
            <w:r>
              <w:rPr>
                <w:rFonts w:ascii="Times New Roman" w:hAnsi="Times New Roman"/>
                <w:szCs w:val="24"/>
              </w:rPr>
              <w:t>Construction</w:t>
            </w:r>
          </w:p>
        </w:tc>
        <w:tc>
          <w:tcPr>
            <w:tcW w:w="1800" w:type="dxa"/>
          </w:tcPr>
          <w:p w14:paraId="3B56265E">
            <w:pPr>
              <w:spacing w:line="240" w:lineRule="auto"/>
              <w:rPr>
                <w:rFonts w:ascii="Times New Roman" w:hAnsi="Times New Roman"/>
                <w:szCs w:val="24"/>
              </w:rPr>
            </w:pPr>
            <w:r>
              <w:rPr>
                <w:rFonts w:ascii="Times New Roman" w:hAnsi="Times New Roman"/>
                <w:szCs w:val="24"/>
              </w:rPr>
              <w:t xml:space="preserve">Soil </w:t>
            </w:r>
          </w:p>
        </w:tc>
        <w:tc>
          <w:tcPr>
            <w:tcW w:w="3330" w:type="dxa"/>
          </w:tcPr>
          <w:p w14:paraId="730AAB7A">
            <w:pPr>
              <w:pStyle w:val="32"/>
              <w:numPr>
                <w:ilvl w:val="0"/>
                <w:numId w:val="89"/>
              </w:numPr>
              <w:spacing w:line="240" w:lineRule="auto"/>
              <w:rPr>
                <w:rFonts w:ascii="Times New Roman" w:hAnsi="Times New Roman"/>
                <w:szCs w:val="24"/>
              </w:rPr>
            </w:pPr>
            <w:r>
              <w:rPr>
                <w:rFonts w:ascii="Times New Roman" w:hAnsi="Times New Roman"/>
                <w:szCs w:val="24"/>
              </w:rPr>
              <w:t>Presence of oil spills on the construction site.</w:t>
            </w:r>
          </w:p>
          <w:p w14:paraId="7B616486">
            <w:pPr>
              <w:pStyle w:val="32"/>
              <w:numPr>
                <w:ilvl w:val="0"/>
                <w:numId w:val="89"/>
              </w:numPr>
              <w:spacing w:line="240" w:lineRule="auto"/>
              <w:rPr>
                <w:rFonts w:ascii="Times New Roman" w:hAnsi="Times New Roman"/>
                <w:szCs w:val="24"/>
              </w:rPr>
            </w:pPr>
            <w:r>
              <w:rPr>
                <w:rFonts w:ascii="Times New Roman" w:hAnsi="Times New Roman"/>
                <w:szCs w:val="24"/>
              </w:rPr>
              <w:t>Flow of wastewater on the ground surface.</w:t>
            </w:r>
          </w:p>
        </w:tc>
        <w:tc>
          <w:tcPr>
            <w:tcW w:w="2430" w:type="dxa"/>
          </w:tcPr>
          <w:p w14:paraId="625A5699">
            <w:pPr>
              <w:pStyle w:val="32"/>
              <w:numPr>
                <w:ilvl w:val="0"/>
                <w:numId w:val="89"/>
              </w:numPr>
              <w:spacing w:line="240" w:lineRule="auto"/>
              <w:rPr>
                <w:rFonts w:ascii="Times New Roman" w:hAnsi="Times New Roman"/>
                <w:szCs w:val="24"/>
              </w:rPr>
            </w:pPr>
            <w:r>
              <w:rPr>
                <w:rFonts w:ascii="Times New Roman" w:hAnsi="Times New Roman"/>
                <w:szCs w:val="24"/>
              </w:rPr>
              <w:t>Physical inspection</w:t>
            </w:r>
          </w:p>
          <w:p w14:paraId="3EB91767">
            <w:pPr>
              <w:pStyle w:val="32"/>
              <w:numPr>
                <w:ilvl w:val="0"/>
                <w:numId w:val="89"/>
              </w:numPr>
              <w:spacing w:line="240" w:lineRule="auto"/>
              <w:rPr>
                <w:rFonts w:ascii="Times New Roman" w:hAnsi="Times New Roman"/>
                <w:szCs w:val="24"/>
              </w:rPr>
            </w:pPr>
            <w:r>
              <w:rPr>
                <w:rFonts w:ascii="Times New Roman" w:hAnsi="Times New Roman"/>
                <w:szCs w:val="24"/>
              </w:rPr>
              <w:t>Number of complaints</w:t>
            </w:r>
          </w:p>
        </w:tc>
        <w:tc>
          <w:tcPr>
            <w:tcW w:w="1530" w:type="dxa"/>
          </w:tcPr>
          <w:p w14:paraId="5DC3B2DE">
            <w:pPr>
              <w:spacing w:line="240" w:lineRule="auto"/>
              <w:rPr>
                <w:rFonts w:ascii="Times New Roman" w:hAnsi="Times New Roman"/>
                <w:szCs w:val="24"/>
              </w:rPr>
            </w:pPr>
            <w:r>
              <w:rPr>
                <w:rFonts w:ascii="Times New Roman" w:hAnsi="Times New Roman"/>
                <w:szCs w:val="24"/>
              </w:rPr>
              <w:t>Monthly</w:t>
            </w:r>
          </w:p>
        </w:tc>
        <w:tc>
          <w:tcPr>
            <w:tcW w:w="1980" w:type="dxa"/>
          </w:tcPr>
          <w:p w14:paraId="37B1D06E">
            <w:pPr>
              <w:spacing w:line="240" w:lineRule="auto"/>
              <w:rPr>
                <w:rFonts w:ascii="Times New Roman" w:hAnsi="Times New Roman"/>
                <w:szCs w:val="24"/>
              </w:rPr>
            </w:pPr>
            <w:r>
              <w:rPr>
                <w:rFonts w:ascii="Times New Roman" w:hAnsi="Times New Roman"/>
                <w:szCs w:val="24"/>
              </w:rPr>
              <w:t>Environmental Supervisor</w:t>
            </w:r>
          </w:p>
          <w:p w14:paraId="3B95E760">
            <w:pPr>
              <w:spacing w:line="240" w:lineRule="auto"/>
              <w:rPr>
                <w:rFonts w:ascii="Times New Roman" w:hAnsi="Times New Roman"/>
                <w:szCs w:val="24"/>
              </w:rPr>
            </w:pPr>
            <w:r>
              <w:rPr>
                <w:rFonts w:ascii="Times New Roman" w:hAnsi="Times New Roman"/>
                <w:szCs w:val="24"/>
              </w:rPr>
              <w:t>Contractor</w:t>
            </w:r>
          </w:p>
        </w:tc>
        <w:tc>
          <w:tcPr>
            <w:tcW w:w="1980" w:type="dxa"/>
          </w:tcPr>
          <w:p w14:paraId="00DA186F">
            <w:pPr>
              <w:spacing w:line="240" w:lineRule="auto"/>
              <w:rPr>
                <w:rFonts w:ascii="Times New Roman" w:hAnsi="Times New Roman"/>
                <w:szCs w:val="24"/>
              </w:rPr>
            </w:pPr>
            <w:r>
              <w:rPr>
                <w:rFonts w:ascii="Times New Roman" w:hAnsi="Times New Roman"/>
                <w:szCs w:val="24"/>
              </w:rPr>
              <w:t>Implement recommendations</w:t>
            </w:r>
          </w:p>
        </w:tc>
      </w:tr>
      <w:tr w14:paraId="6882A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64DC74DD">
            <w:pPr>
              <w:spacing w:line="240" w:lineRule="auto"/>
              <w:rPr>
                <w:rFonts w:ascii="Times New Roman" w:hAnsi="Times New Roman"/>
                <w:szCs w:val="24"/>
              </w:rPr>
            </w:pPr>
            <w:r>
              <w:rPr>
                <w:rFonts w:ascii="Times New Roman" w:hAnsi="Times New Roman"/>
                <w:szCs w:val="24"/>
              </w:rPr>
              <w:t>Construction</w:t>
            </w:r>
          </w:p>
        </w:tc>
        <w:tc>
          <w:tcPr>
            <w:tcW w:w="1800" w:type="dxa"/>
          </w:tcPr>
          <w:p w14:paraId="787C1C45">
            <w:pPr>
              <w:spacing w:line="240" w:lineRule="auto"/>
              <w:rPr>
                <w:rFonts w:ascii="Times New Roman" w:hAnsi="Times New Roman"/>
                <w:szCs w:val="24"/>
              </w:rPr>
            </w:pPr>
            <w:r>
              <w:rPr>
                <w:rFonts w:ascii="Times New Roman" w:hAnsi="Times New Roman"/>
                <w:szCs w:val="24"/>
              </w:rPr>
              <w:t>Impacts on Water resources</w:t>
            </w:r>
          </w:p>
        </w:tc>
        <w:tc>
          <w:tcPr>
            <w:tcW w:w="3330" w:type="dxa"/>
          </w:tcPr>
          <w:p w14:paraId="4C55890A">
            <w:pPr>
              <w:pStyle w:val="32"/>
              <w:numPr>
                <w:ilvl w:val="0"/>
                <w:numId w:val="89"/>
              </w:numPr>
              <w:spacing w:line="240" w:lineRule="auto"/>
              <w:rPr>
                <w:rFonts w:ascii="Times New Roman" w:hAnsi="Times New Roman"/>
                <w:szCs w:val="24"/>
              </w:rPr>
            </w:pPr>
            <w:r>
              <w:rPr>
                <w:rFonts w:ascii="Times New Roman" w:hAnsi="Times New Roman"/>
                <w:szCs w:val="24"/>
              </w:rPr>
              <w:t>Presence of solid and liquid waste in water resources.</w:t>
            </w:r>
          </w:p>
          <w:p w14:paraId="087715C9">
            <w:pPr>
              <w:pStyle w:val="32"/>
              <w:numPr>
                <w:ilvl w:val="0"/>
                <w:numId w:val="89"/>
              </w:numPr>
              <w:spacing w:line="240" w:lineRule="auto"/>
              <w:rPr>
                <w:rFonts w:ascii="Times New Roman" w:hAnsi="Times New Roman"/>
                <w:szCs w:val="24"/>
              </w:rPr>
            </w:pPr>
            <w:r>
              <w:rPr>
                <w:rFonts w:ascii="Times New Roman" w:hAnsi="Times New Roman"/>
                <w:szCs w:val="24"/>
              </w:rPr>
              <w:t>Evidence of oil spills in water resources.</w:t>
            </w:r>
          </w:p>
        </w:tc>
        <w:tc>
          <w:tcPr>
            <w:tcW w:w="2430" w:type="dxa"/>
          </w:tcPr>
          <w:p w14:paraId="5B8B68A1">
            <w:pPr>
              <w:pStyle w:val="32"/>
              <w:numPr>
                <w:ilvl w:val="0"/>
                <w:numId w:val="89"/>
              </w:numPr>
              <w:spacing w:line="240" w:lineRule="auto"/>
              <w:rPr>
                <w:rFonts w:ascii="Times New Roman" w:hAnsi="Times New Roman"/>
                <w:szCs w:val="24"/>
              </w:rPr>
            </w:pPr>
            <w:r>
              <w:rPr>
                <w:rFonts w:ascii="Times New Roman" w:hAnsi="Times New Roman"/>
                <w:szCs w:val="24"/>
              </w:rPr>
              <w:t>Physical inspection</w:t>
            </w:r>
          </w:p>
          <w:p w14:paraId="0E39D390">
            <w:pPr>
              <w:pStyle w:val="32"/>
              <w:numPr>
                <w:ilvl w:val="0"/>
                <w:numId w:val="89"/>
              </w:numPr>
              <w:spacing w:line="240" w:lineRule="auto"/>
              <w:rPr>
                <w:rFonts w:ascii="Times New Roman" w:hAnsi="Times New Roman"/>
                <w:szCs w:val="24"/>
              </w:rPr>
            </w:pPr>
            <w:r>
              <w:rPr>
                <w:rFonts w:ascii="Times New Roman" w:hAnsi="Times New Roman"/>
                <w:szCs w:val="24"/>
              </w:rPr>
              <w:t>Number of complaints</w:t>
            </w:r>
          </w:p>
        </w:tc>
        <w:tc>
          <w:tcPr>
            <w:tcW w:w="1530" w:type="dxa"/>
          </w:tcPr>
          <w:p w14:paraId="5B760471">
            <w:pPr>
              <w:spacing w:line="240" w:lineRule="auto"/>
              <w:rPr>
                <w:rFonts w:ascii="Times New Roman" w:hAnsi="Times New Roman"/>
                <w:szCs w:val="24"/>
              </w:rPr>
            </w:pPr>
            <w:r>
              <w:rPr>
                <w:rFonts w:ascii="Times New Roman" w:hAnsi="Times New Roman"/>
                <w:szCs w:val="24"/>
              </w:rPr>
              <w:t>Monthly</w:t>
            </w:r>
          </w:p>
        </w:tc>
        <w:tc>
          <w:tcPr>
            <w:tcW w:w="1980" w:type="dxa"/>
          </w:tcPr>
          <w:p w14:paraId="599547AE">
            <w:pPr>
              <w:spacing w:line="240" w:lineRule="auto"/>
              <w:rPr>
                <w:rFonts w:ascii="Times New Roman" w:hAnsi="Times New Roman"/>
                <w:szCs w:val="24"/>
              </w:rPr>
            </w:pPr>
            <w:r>
              <w:rPr>
                <w:rFonts w:ascii="Times New Roman" w:hAnsi="Times New Roman"/>
                <w:szCs w:val="24"/>
              </w:rPr>
              <w:t>Environmental Supervisor</w:t>
            </w:r>
          </w:p>
          <w:p w14:paraId="4EEBB5E0">
            <w:pPr>
              <w:spacing w:line="240" w:lineRule="auto"/>
              <w:rPr>
                <w:rFonts w:ascii="Times New Roman" w:hAnsi="Times New Roman"/>
                <w:szCs w:val="24"/>
              </w:rPr>
            </w:pPr>
            <w:r>
              <w:rPr>
                <w:rFonts w:ascii="Times New Roman" w:hAnsi="Times New Roman"/>
                <w:szCs w:val="24"/>
              </w:rPr>
              <w:t>Contractor</w:t>
            </w:r>
          </w:p>
        </w:tc>
        <w:tc>
          <w:tcPr>
            <w:tcW w:w="1980" w:type="dxa"/>
          </w:tcPr>
          <w:p w14:paraId="43AD4025">
            <w:pPr>
              <w:spacing w:line="240" w:lineRule="auto"/>
              <w:rPr>
                <w:rFonts w:ascii="Times New Roman" w:hAnsi="Times New Roman"/>
                <w:szCs w:val="24"/>
              </w:rPr>
            </w:pPr>
            <w:r>
              <w:rPr>
                <w:rFonts w:ascii="Times New Roman" w:hAnsi="Times New Roman"/>
                <w:szCs w:val="24"/>
              </w:rPr>
              <w:t>Implement recommendations</w:t>
            </w:r>
          </w:p>
        </w:tc>
      </w:tr>
      <w:tr w14:paraId="7314E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77A3E5F9">
            <w:pPr>
              <w:spacing w:line="240" w:lineRule="auto"/>
              <w:rPr>
                <w:rFonts w:ascii="Times New Roman" w:hAnsi="Times New Roman"/>
                <w:szCs w:val="24"/>
              </w:rPr>
            </w:pPr>
            <w:r>
              <w:rPr>
                <w:rFonts w:ascii="Times New Roman" w:hAnsi="Times New Roman"/>
                <w:szCs w:val="24"/>
              </w:rPr>
              <w:t>Construction</w:t>
            </w:r>
          </w:p>
        </w:tc>
        <w:tc>
          <w:tcPr>
            <w:tcW w:w="1800" w:type="dxa"/>
          </w:tcPr>
          <w:p w14:paraId="65BA669C">
            <w:pPr>
              <w:spacing w:line="240" w:lineRule="auto"/>
              <w:rPr>
                <w:rFonts w:ascii="Times New Roman" w:hAnsi="Times New Roman"/>
                <w:szCs w:val="24"/>
              </w:rPr>
            </w:pPr>
            <w:r>
              <w:rPr>
                <w:rFonts w:ascii="Times New Roman" w:hAnsi="Times New Roman"/>
                <w:szCs w:val="24"/>
              </w:rPr>
              <w:t>Noise and vibrations</w:t>
            </w:r>
          </w:p>
        </w:tc>
        <w:tc>
          <w:tcPr>
            <w:tcW w:w="3330" w:type="dxa"/>
          </w:tcPr>
          <w:p w14:paraId="3AFF50E7">
            <w:pPr>
              <w:pStyle w:val="32"/>
              <w:numPr>
                <w:ilvl w:val="0"/>
                <w:numId w:val="89"/>
              </w:numPr>
              <w:spacing w:line="240" w:lineRule="auto"/>
              <w:rPr>
                <w:rFonts w:ascii="Times New Roman" w:hAnsi="Times New Roman"/>
                <w:szCs w:val="24"/>
              </w:rPr>
            </w:pPr>
            <w:r>
              <w:rPr>
                <w:rFonts w:ascii="Times New Roman" w:hAnsi="Times New Roman"/>
                <w:szCs w:val="24"/>
              </w:rPr>
              <w:t>Level of noise generated.</w:t>
            </w:r>
          </w:p>
          <w:p w14:paraId="6FCF8CC6">
            <w:pPr>
              <w:pStyle w:val="32"/>
              <w:numPr>
                <w:ilvl w:val="0"/>
                <w:numId w:val="89"/>
              </w:numPr>
              <w:spacing w:line="240" w:lineRule="auto"/>
              <w:rPr>
                <w:rFonts w:ascii="Times New Roman" w:hAnsi="Times New Roman"/>
                <w:szCs w:val="24"/>
              </w:rPr>
            </w:pPr>
            <w:r>
              <w:rPr>
                <w:rFonts w:ascii="Times New Roman" w:hAnsi="Times New Roman"/>
                <w:szCs w:val="24"/>
              </w:rPr>
              <w:t>Provision of PPE.</w:t>
            </w:r>
          </w:p>
          <w:p w14:paraId="0858867D">
            <w:pPr>
              <w:pStyle w:val="32"/>
              <w:numPr>
                <w:ilvl w:val="0"/>
                <w:numId w:val="89"/>
              </w:numPr>
              <w:spacing w:line="240" w:lineRule="auto"/>
              <w:rPr>
                <w:rFonts w:ascii="Times New Roman" w:hAnsi="Times New Roman"/>
                <w:szCs w:val="24"/>
              </w:rPr>
            </w:pPr>
            <w:r>
              <w:rPr>
                <w:rFonts w:ascii="Times New Roman" w:hAnsi="Times New Roman"/>
                <w:szCs w:val="24"/>
              </w:rPr>
              <w:t>Compliance with existing noise standard issued by NEMA.</w:t>
            </w:r>
          </w:p>
        </w:tc>
        <w:tc>
          <w:tcPr>
            <w:tcW w:w="2430" w:type="dxa"/>
          </w:tcPr>
          <w:p w14:paraId="472C14F2">
            <w:pPr>
              <w:pStyle w:val="32"/>
              <w:numPr>
                <w:ilvl w:val="0"/>
                <w:numId w:val="89"/>
              </w:numPr>
              <w:spacing w:line="240" w:lineRule="auto"/>
              <w:rPr>
                <w:rFonts w:ascii="Times New Roman" w:hAnsi="Times New Roman"/>
                <w:szCs w:val="24"/>
              </w:rPr>
            </w:pPr>
            <w:r>
              <w:rPr>
                <w:rFonts w:ascii="Times New Roman" w:hAnsi="Times New Roman"/>
                <w:szCs w:val="24"/>
              </w:rPr>
              <w:t>Liaise with other stakeholders.</w:t>
            </w:r>
          </w:p>
          <w:p w14:paraId="012C4FD9">
            <w:pPr>
              <w:pStyle w:val="32"/>
              <w:numPr>
                <w:ilvl w:val="0"/>
                <w:numId w:val="89"/>
              </w:numPr>
              <w:spacing w:line="240" w:lineRule="auto"/>
              <w:rPr>
                <w:rFonts w:ascii="Times New Roman" w:hAnsi="Times New Roman"/>
                <w:szCs w:val="24"/>
                <w:lang w:val="fr-FR"/>
              </w:rPr>
            </w:pPr>
            <w:r>
              <w:rPr>
                <w:rFonts w:ascii="Times New Roman" w:hAnsi="Times New Roman"/>
                <w:szCs w:val="24"/>
                <w:lang w:val="fr-FR"/>
              </w:rPr>
              <w:t>Documentation on complaints about noise</w:t>
            </w:r>
          </w:p>
        </w:tc>
        <w:tc>
          <w:tcPr>
            <w:tcW w:w="1530" w:type="dxa"/>
          </w:tcPr>
          <w:p w14:paraId="1BFFF9B2">
            <w:pPr>
              <w:spacing w:line="240" w:lineRule="auto"/>
              <w:rPr>
                <w:rFonts w:ascii="Times New Roman" w:hAnsi="Times New Roman"/>
                <w:szCs w:val="24"/>
              </w:rPr>
            </w:pPr>
            <w:r>
              <w:rPr>
                <w:rFonts w:ascii="Times New Roman" w:hAnsi="Times New Roman"/>
                <w:szCs w:val="24"/>
              </w:rPr>
              <w:t>Monthly</w:t>
            </w:r>
          </w:p>
        </w:tc>
        <w:tc>
          <w:tcPr>
            <w:tcW w:w="1980" w:type="dxa"/>
          </w:tcPr>
          <w:p w14:paraId="461AEE8B">
            <w:pPr>
              <w:spacing w:line="240" w:lineRule="auto"/>
              <w:rPr>
                <w:rFonts w:ascii="Times New Roman" w:hAnsi="Times New Roman"/>
                <w:szCs w:val="24"/>
              </w:rPr>
            </w:pPr>
            <w:r>
              <w:rPr>
                <w:rFonts w:ascii="Times New Roman" w:hAnsi="Times New Roman"/>
                <w:szCs w:val="24"/>
              </w:rPr>
              <w:t>Environmental Supervisor</w:t>
            </w:r>
          </w:p>
        </w:tc>
        <w:tc>
          <w:tcPr>
            <w:tcW w:w="1980" w:type="dxa"/>
          </w:tcPr>
          <w:p w14:paraId="123E176A">
            <w:pPr>
              <w:spacing w:line="240" w:lineRule="auto"/>
              <w:rPr>
                <w:rFonts w:ascii="Times New Roman" w:hAnsi="Times New Roman"/>
                <w:szCs w:val="24"/>
              </w:rPr>
            </w:pPr>
            <w:r>
              <w:rPr>
                <w:rFonts w:ascii="Times New Roman" w:hAnsi="Times New Roman"/>
                <w:szCs w:val="24"/>
              </w:rPr>
              <w:t>Implement recommendations</w:t>
            </w:r>
          </w:p>
        </w:tc>
      </w:tr>
      <w:tr w14:paraId="07FA7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052BA832">
            <w:pPr>
              <w:spacing w:line="240" w:lineRule="auto"/>
              <w:rPr>
                <w:rFonts w:ascii="Times New Roman" w:hAnsi="Times New Roman"/>
                <w:szCs w:val="24"/>
              </w:rPr>
            </w:pPr>
            <w:r>
              <w:rPr>
                <w:rFonts w:ascii="Times New Roman" w:hAnsi="Times New Roman"/>
                <w:szCs w:val="24"/>
              </w:rPr>
              <w:t>Construction</w:t>
            </w:r>
          </w:p>
        </w:tc>
        <w:tc>
          <w:tcPr>
            <w:tcW w:w="1800" w:type="dxa"/>
          </w:tcPr>
          <w:p w14:paraId="76E04B52">
            <w:pPr>
              <w:spacing w:line="240" w:lineRule="auto"/>
              <w:rPr>
                <w:rFonts w:ascii="Times New Roman" w:hAnsi="Times New Roman"/>
                <w:szCs w:val="24"/>
              </w:rPr>
            </w:pPr>
            <w:r>
              <w:rPr>
                <w:rFonts w:ascii="Times New Roman" w:hAnsi="Times New Roman"/>
                <w:szCs w:val="24"/>
              </w:rPr>
              <w:t>Public &amp; Occupational Safety &amp; Health (including Liability for loss of life, injury)</w:t>
            </w:r>
          </w:p>
        </w:tc>
        <w:tc>
          <w:tcPr>
            <w:tcW w:w="3330" w:type="dxa"/>
          </w:tcPr>
          <w:p w14:paraId="15B67BBB">
            <w:pPr>
              <w:pStyle w:val="32"/>
              <w:numPr>
                <w:ilvl w:val="0"/>
                <w:numId w:val="89"/>
              </w:numPr>
              <w:spacing w:line="240" w:lineRule="auto"/>
              <w:rPr>
                <w:rFonts w:ascii="Times New Roman" w:hAnsi="Times New Roman"/>
                <w:szCs w:val="24"/>
              </w:rPr>
            </w:pPr>
            <w:r>
              <w:rPr>
                <w:rFonts w:ascii="Times New Roman" w:hAnsi="Times New Roman"/>
                <w:szCs w:val="24"/>
              </w:rPr>
              <w:t>Prevalence rates of common diseases.</w:t>
            </w:r>
          </w:p>
          <w:p w14:paraId="14B580FD">
            <w:pPr>
              <w:pStyle w:val="32"/>
              <w:numPr>
                <w:ilvl w:val="0"/>
                <w:numId w:val="89"/>
              </w:numPr>
              <w:spacing w:line="240" w:lineRule="auto"/>
              <w:rPr>
                <w:rFonts w:ascii="Times New Roman" w:hAnsi="Times New Roman"/>
                <w:szCs w:val="24"/>
              </w:rPr>
            </w:pPr>
            <w:r>
              <w:rPr>
                <w:rFonts w:ascii="Times New Roman" w:hAnsi="Times New Roman"/>
                <w:szCs w:val="24"/>
              </w:rPr>
              <w:t>Provision of condoms, contraceptives and mosquito nets.</w:t>
            </w:r>
          </w:p>
          <w:p w14:paraId="12222B67">
            <w:pPr>
              <w:pStyle w:val="32"/>
              <w:numPr>
                <w:ilvl w:val="0"/>
                <w:numId w:val="89"/>
              </w:numPr>
              <w:spacing w:line="240" w:lineRule="auto"/>
              <w:rPr>
                <w:rFonts w:ascii="Times New Roman" w:hAnsi="Times New Roman"/>
                <w:szCs w:val="24"/>
              </w:rPr>
            </w:pPr>
            <w:r>
              <w:rPr>
                <w:rFonts w:ascii="Times New Roman" w:hAnsi="Times New Roman"/>
                <w:szCs w:val="24"/>
              </w:rPr>
              <w:t>Conduction of campaign meetings on transmission of diseases like HIV/AIDS and other STDs.</w:t>
            </w:r>
          </w:p>
          <w:p w14:paraId="43E7B874">
            <w:pPr>
              <w:pStyle w:val="32"/>
              <w:numPr>
                <w:ilvl w:val="0"/>
                <w:numId w:val="89"/>
              </w:numPr>
              <w:spacing w:line="240" w:lineRule="auto"/>
              <w:rPr>
                <w:rFonts w:ascii="Times New Roman" w:hAnsi="Times New Roman"/>
                <w:szCs w:val="24"/>
              </w:rPr>
            </w:pPr>
            <w:r>
              <w:rPr>
                <w:rFonts w:ascii="Times New Roman" w:hAnsi="Times New Roman"/>
                <w:szCs w:val="24"/>
              </w:rPr>
              <w:t>Availability of adequate solid waste bins.</w:t>
            </w:r>
          </w:p>
          <w:p w14:paraId="2B9C1029">
            <w:pPr>
              <w:pStyle w:val="32"/>
              <w:numPr>
                <w:ilvl w:val="0"/>
                <w:numId w:val="89"/>
              </w:numPr>
              <w:spacing w:line="240" w:lineRule="auto"/>
              <w:rPr>
                <w:rFonts w:ascii="Times New Roman" w:hAnsi="Times New Roman"/>
                <w:szCs w:val="24"/>
              </w:rPr>
            </w:pPr>
            <w:r>
              <w:rPr>
                <w:rFonts w:ascii="Times New Roman" w:hAnsi="Times New Roman"/>
                <w:szCs w:val="24"/>
              </w:rPr>
              <w:t>System of safe disposal of both solid and liquid waste in place.</w:t>
            </w:r>
          </w:p>
          <w:p w14:paraId="1D24BC74">
            <w:pPr>
              <w:pStyle w:val="32"/>
              <w:numPr>
                <w:ilvl w:val="0"/>
                <w:numId w:val="89"/>
              </w:numPr>
              <w:spacing w:line="240" w:lineRule="auto"/>
              <w:rPr>
                <w:rFonts w:ascii="Times New Roman" w:hAnsi="Times New Roman"/>
                <w:szCs w:val="24"/>
              </w:rPr>
            </w:pPr>
            <w:r>
              <w:rPr>
                <w:rFonts w:ascii="Times New Roman" w:hAnsi="Times New Roman"/>
                <w:szCs w:val="24"/>
              </w:rPr>
              <w:t>Presence of barriers to restrict access to facility by unauthorised persons</w:t>
            </w:r>
          </w:p>
          <w:p w14:paraId="255E7387">
            <w:pPr>
              <w:pStyle w:val="32"/>
              <w:numPr>
                <w:ilvl w:val="0"/>
                <w:numId w:val="89"/>
              </w:numPr>
              <w:spacing w:line="240" w:lineRule="auto"/>
              <w:rPr>
                <w:rFonts w:ascii="Times New Roman" w:hAnsi="Times New Roman"/>
                <w:szCs w:val="24"/>
              </w:rPr>
            </w:pPr>
            <w:r>
              <w:rPr>
                <w:rFonts w:ascii="Times New Roman" w:hAnsi="Times New Roman"/>
                <w:szCs w:val="24"/>
              </w:rPr>
              <w:t>Availability of first aid facilities.</w:t>
            </w:r>
          </w:p>
          <w:p w14:paraId="3382BD2A">
            <w:pPr>
              <w:pStyle w:val="32"/>
              <w:numPr>
                <w:ilvl w:val="0"/>
                <w:numId w:val="89"/>
              </w:numPr>
              <w:spacing w:line="240" w:lineRule="auto"/>
              <w:rPr>
                <w:rFonts w:ascii="Times New Roman" w:hAnsi="Times New Roman"/>
                <w:szCs w:val="24"/>
              </w:rPr>
            </w:pPr>
            <w:r>
              <w:rPr>
                <w:rFonts w:ascii="Times New Roman" w:hAnsi="Times New Roman"/>
                <w:szCs w:val="24"/>
              </w:rPr>
              <w:t>Availability of worker insurance for the contractor’s personnel</w:t>
            </w:r>
          </w:p>
          <w:p w14:paraId="399FB3CC">
            <w:pPr>
              <w:pStyle w:val="32"/>
              <w:numPr>
                <w:ilvl w:val="0"/>
                <w:numId w:val="89"/>
              </w:numPr>
              <w:spacing w:line="240" w:lineRule="auto"/>
              <w:rPr>
                <w:rFonts w:ascii="Times New Roman" w:hAnsi="Times New Roman"/>
                <w:szCs w:val="24"/>
              </w:rPr>
            </w:pPr>
            <w:r>
              <w:rPr>
                <w:rFonts w:ascii="Times New Roman" w:hAnsi="Times New Roman"/>
                <w:szCs w:val="24"/>
              </w:rPr>
              <w:t>Outpatient attendance registers.</w:t>
            </w:r>
          </w:p>
          <w:p w14:paraId="3EC17426">
            <w:pPr>
              <w:pStyle w:val="32"/>
              <w:numPr>
                <w:ilvl w:val="0"/>
                <w:numId w:val="89"/>
              </w:numPr>
              <w:spacing w:line="240" w:lineRule="auto"/>
              <w:rPr>
                <w:rFonts w:ascii="Times New Roman" w:hAnsi="Times New Roman"/>
                <w:szCs w:val="24"/>
              </w:rPr>
            </w:pPr>
            <w:r>
              <w:rPr>
                <w:rFonts w:ascii="Times New Roman" w:hAnsi="Times New Roman"/>
                <w:szCs w:val="24"/>
              </w:rPr>
              <w:t>Compliance with the Health and Safety Act.</w:t>
            </w:r>
          </w:p>
        </w:tc>
        <w:tc>
          <w:tcPr>
            <w:tcW w:w="2430" w:type="dxa"/>
          </w:tcPr>
          <w:p w14:paraId="1E91A3E2">
            <w:pPr>
              <w:pStyle w:val="32"/>
              <w:numPr>
                <w:ilvl w:val="0"/>
                <w:numId w:val="89"/>
              </w:numPr>
              <w:spacing w:line="240" w:lineRule="auto"/>
              <w:rPr>
                <w:rFonts w:ascii="Times New Roman" w:hAnsi="Times New Roman"/>
                <w:szCs w:val="24"/>
              </w:rPr>
            </w:pPr>
            <w:r>
              <w:rPr>
                <w:rFonts w:ascii="Times New Roman" w:hAnsi="Times New Roman"/>
                <w:szCs w:val="24"/>
              </w:rPr>
              <w:t>Physical inspection</w:t>
            </w:r>
          </w:p>
          <w:p w14:paraId="5448D2EB">
            <w:pPr>
              <w:pStyle w:val="32"/>
              <w:numPr>
                <w:ilvl w:val="0"/>
                <w:numId w:val="89"/>
              </w:numPr>
              <w:spacing w:line="240" w:lineRule="auto"/>
              <w:rPr>
                <w:rFonts w:ascii="Times New Roman" w:hAnsi="Times New Roman"/>
                <w:szCs w:val="24"/>
              </w:rPr>
            </w:pPr>
            <w:r>
              <w:rPr>
                <w:rFonts w:ascii="Times New Roman" w:hAnsi="Times New Roman"/>
                <w:szCs w:val="24"/>
              </w:rPr>
              <w:t>Documentation Number of complaints</w:t>
            </w:r>
          </w:p>
          <w:p w14:paraId="08D05598">
            <w:pPr>
              <w:pStyle w:val="32"/>
              <w:numPr>
                <w:ilvl w:val="0"/>
                <w:numId w:val="89"/>
              </w:numPr>
              <w:spacing w:line="240" w:lineRule="auto"/>
              <w:rPr>
                <w:rFonts w:ascii="Times New Roman" w:hAnsi="Times New Roman"/>
                <w:szCs w:val="24"/>
              </w:rPr>
            </w:pPr>
            <w:r>
              <w:rPr>
                <w:rFonts w:ascii="Times New Roman" w:hAnsi="Times New Roman"/>
                <w:szCs w:val="24"/>
              </w:rPr>
              <w:t>Interview with residents</w:t>
            </w:r>
          </w:p>
        </w:tc>
        <w:tc>
          <w:tcPr>
            <w:tcW w:w="1530" w:type="dxa"/>
          </w:tcPr>
          <w:p w14:paraId="3B7061FD">
            <w:pPr>
              <w:spacing w:line="240" w:lineRule="auto"/>
              <w:rPr>
                <w:rFonts w:ascii="Times New Roman" w:hAnsi="Times New Roman"/>
                <w:szCs w:val="24"/>
              </w:rPr>
            </w:pPr>
            <w:r>
              <w:rPr>
                <w:rFonts w:ascii="Times New Roman" w:hAnsi="Times New Roman"/>
                <w:szCs w:val="24"/>
              </w:rPr>
              <w:t>Weekly</w:t>
            </w:r>
          </w:p>
        </w:tc>
        <w:tc>
          <w:tcPr>
            <w:tcW w:w="1980" w:type="dxa"/>
          </w:tcPr>
          <w:p w14:paraId="616C0279">
            <w:pPr>
              <w:spacing w:line="240" w:lineRule="auto"/>
              <w:rPr>
                <w:rFonts w:ascii="Times New Roman" w:hAnsi="Times New Roman"/>
                <w:szCs w:val="24"/>
              </w:rPr>
            </w:pPr>
            <w:r>
              <w:rPr>
                <w:rFonts w:ascii="Times New Roman" w:hAnsi="Times New Roman"/>
                <w:szCs w:val="24"/>
              </w:rPr>
              <w:t>Environmental Supervisor</w:t>
            </w:r>
          </w:p>
        </w:tc>
        <w:tc>
          <w:tcPr>
            <w:tcW w:w="1980" w:type="dxa"/>
          </w:tcPr>
          <w:p w14:paraId="07A7B473">
            <w:pPr>
              <w:spacing w:line="240" w:lineRule="auto"/>
              <w:rPr>
                <w:rFonts w:ascii="Times New Roman" w:hAnsi="Times New Roman"/>
                <w:szCs w:val="24"/>
              </w:rPr>
            </w:pPr>
            <w:r>
              <w:rPr>
                <w:rFonts w:ascii="Times New Roman" w:hAnsi="Times New Roman"/>
                <w:szCs w:val="24"/>
              </w:rPr>
              <w:t>Investigate non-compliance and make recommendations</w:t>
            </w:r>
          </w:p>
          <w:p w14:paraId="47C2671C">
            <w:pPr>
              <w:spacing w:line="240" w:lineRule="auto"/>
              <w:rPr>
                <w:rFonts w:ascii="Times New Roman" w:hAnsi="Times New Roman"/>
                <w:szCs w:val="24"/>
              </w:rPr>
            </w:pPr>
            <w:r>
              <w:rPr>
                <w:rFonts w:ascii="Times New Roman" w:hAnsi="Times New Roman"/>
                <w:szCs w:val="24"/>
              </w:rPr>
              <w:t>Implement recommendations</w:t>
            </w:r>
          </w:p>
        </w:tc>
      </w:tr>
      <w:tr w14:paraId="058A5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2E4184F0">
            <w:pPr>
              <w:spacing w:line="240" w:lineRule="auto"/>
              <w:rPr>
                <w:rFonts w:ascii="Times New Roman" w:hAnsi="Times New Roman"/>
                <w:szCs w:val="24"/>
              </w:rPr>
            </w:pPr>
            <w:r>
              <w:rPr>
                <w:rFonts w:ascii="Times New Roman" w:hAnsi="Times New Roman"/>
                <w:szCs w:val="24"/>
              </w:rPr>
              <w:t>Construction</w:t>
            </w:r>
          </w:p>
        </w:tc>
        <w:tc>
          <w:tcPr>
            <w:tcW w:w="1800" w:type="dxa"/>
          </w:tcPr>
          <w:p w14:paraId="2295A99B">
            <w:pPr>
              <w:spacing w:line="240" w:lineRule="auto"/>
              <w:rPr>
                <w:rFonts w:ascii="Times New Roman" w:hAnsi="Times New Roman"/>
                <w:szCs w:val="24"/>
              </w:rPr>
            </w:pPr>
            <w:r>
              <w:rPr>
                <w:rFonts w:ascii="Times New Roman" w:hAnsi="Times New Roman"/>
                <w:szCs w:val="24"/>
              </w:rPr>
              <w:t>Liability for loss of life, injury or damage to private property</w:t>
            </w:r>
          </w:p>
        </w:tc>
        <w:tc>
          <w:tcPr>
            <w:tcW w:w="3330" w:type="dxa"/>
          </w:tcPr>
          <w:p w14:paraId="62985E8C">
            <w:pPr>
              <w:pStyle w:val="32"/>
              <w:numPr>
                <w:ilvl w:val="0"/>
                <w:numId w:val="89"/>
              </w:numPr>
              <w:spacing w:line="240" w:lineRule="auto"/>
              <w:rPr>
                <w:rFonts w:ascii="Times New Roman" w:hAnsi="Times New Roman"/>
                <w:szCs w:val="24"/>
              </w:rPr>
            </w:pPr>
            <w:r>
              <w:rPr>
                <w:rFonts w:ascii="Times New Roman" w:hAnsi="Times New Roman"/>
                <w:szCs w:val="24"/>
              </w:rPr>
              <w:t>Record of accidents and damages done to property outside the demarcated project area</w:t>
            </w:r>
          </w:p>
          <w:p w14:paraId="0A700664">
            <w:pPr>
              <w:pStyle w:val="32"/>
              <w:numPr>
                <w:ilvl w:val="0"/>
                <w:numId w:val="89"/>
              </w:numPr>
              <w:spacing w:line="240" w:lineRule="auto"/>
              <w:rPr>
                <w:rFonts w:ascii="Times New Roman" w:hAnsi="Times New Roman"/>
                <w:szCs w:val="24"/>
              </w:rPr>
            </w:pPr>
            <w:r>
              <w:rPr>
                <w:rFonts w:ascii="Times New Roman" w:hAnsi="Times New Roman"/>
                <w:szCs w:val="24"/>
              </w:rPr>
              <w:t>Clear demarcation of working</w:t>
            </w:r>
          </w:p>
          <w:p w14:paraId="06B1E287">
            <w:pPr>
              <w:pStyle w:val="32"/>
              <w:numPr>
                <w:ilvl w:val="0"/>
                <w:numId w:val="89"/>
              </w:numPr>
              <w:spacing w:line="240" w:lineRule="auto"/>
              <w:rPr>
                <w:rFonts w:ascii="Times New Roman" w:hAnsi="Times New Roman"/>
                <w:szCs w:val="24"/>
              </w:rPr>
            </w:pPr>
            <w:r>
              <w:rPr>
                <w:rFonts w:ascii="Times New Roman" w:hAnsi="Times New Roman"/>
                <w:szCs w:val="24"/>
              </w:rPr>
              <w:t>Availability of approved site safety plan</w:t>
            </w:r>
          </w:p>
        </w:tc>
        <w:tc>
          <w:tcPr>
            <w:tcW w:w="2430" w:type="dxa"/>
          </w:tcPr>
          <w:p w14:paraId="714C115C">
            <w:pPr>
              <w:pStyle w:val="32"/>
              <w:numPr>
                <w:ilvl w:val="0"/>
                <w:numId w:val="89"/>
              </w:numPr>
              <w:spacing w:line="240" w:lineRule="auto"/>
              <w:rPr>
                <w:rFonts w:ascii="Times New Roman" w:hAnsi="Times New Roman"/>
                <w:szCs w:val="24"/>
              </w:rPr>
            </w:pPr>
            <w:r>
              <w:rPr>
                <w:rFonts w:ascii="Times New Roman" w:hAnsi="Times New Roman"/>
                <w:szCs w:val="24"/>
              </w:rPr>
              <w:t>Review of records</w:t>
            </w:r>
          </w:p>
          <w:p w14:paraId="0E42D8BB">
            <w:pPr>
              <w:pStyle w:val="32"/>
              <w:numPr>
                <w:ilvl w:val="0"/>
                <w:numId w:val="89"/>
              </w:numPr>
              <w:spacing w:line="240" w:lineRule="auto"/>
              <w:rPr>
                <w:rFonts w:ascii="Times New Roman" w:hAnsi="Times New Roman"/>
                <w:szCs w:val="24"/>
              </w:rPr>
            </w:pPr>
            <w:r>
              <w:rPr>
                <w:rFonts w:ascii="Times New Roman" w:hAnsi="Times New Roman"/>
                <w:szCs w:val="24"/>
              </w:rPr>
              <w:t>Interviews with staff and local community.</w:t>
            </w:r>
          </w:p>
        </w:tc>
        <w:tc>
          <w:tcPr>
            <w:tcW w:w="1530" w:type="dxa"/>
          </w:tcPr>
          <w:p w14:paraId="35813D66">
            <w:pPr>
              <w:spacing w:line="240" w:lineRule="auto"/>
              <w:rPr>
                <w:rFonts w:ascii="Times New Roman" w:hAnsi="Times New Roman"/>
                <w:szCs w:val="24"/>
              </w:rPr>
            </w:pPr>
            <w:r>
              <w:rPr>
                <w:rFonts w:ascii="Times New Roman" w:hAnsi="Times New Roman"/>
                <w:szCs w:val="24"/>
              </w:rPr>
              <w:t>Monthly</w:t>
            </w:r>
          </w:p>
        </w:tc>
        <w:tc>
          <w:tcPr>
            <w:tcW w:w="1980" w:type="dxa"/>
          </w:tcPr>
          <w:p w14:paraId="3A1D4620">
            <w:pPr>
              <w:spacing w:line="240" w:lineRule="auto"/>
              <w:rPr>
                <w:rFonts w:ascii="Times New Roman" w:hAnsi="Times New Roman"/>
                <w:szCs w:val="24"/>
              </w:rPr>
            </w:pPr>
            <w:r>
              <w:rPr>
                <w:rFonts w:ascii="Times New Roman" w:hAnsi="Times New Roman"/>
                <w:szCs w:val="24"/>
              </w:rPr>
              <w:t>Environmental Supervisor</w:t>
            </w:r>
          </w:p>
        </w:tc>
        <w:tc>
          <w:tcPr>
            <w:tcW w:w="1980" w:type="dxa"/>
          </w:tcPr>
          <w:p w14:paraId="10180BD3">
            <w:pPr>
              <w:spacing w:line="240" w:lineRule="auto"/>
              <w:rPr>
                <w:rFonts w:ascii="Times New Roman" w:hAnsi="Times New Roman"/>
                <w:szCs w:val="24"/>
              </w:rPr>
            </w:pPr>
            <w:r>
              <w:rPr>
                <w:rFonts w:ascii="Times New Roman" w:hAnsi="Times New Roman"/>
                <w:szCs w:val="24"/>
              </w:rPr>
              <w:t>Implement recommendations</w:t>
            </w:r>
          </w:p>
        </w:tc>
      </w:tr>
      <w:tr w14:paraId="2FAE2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27D57F76">
            <w:pPr>
              <w:spacing w:line="240" w:lineRule="auto"/>
              <w:rPr>
                <w:rFonts w:ascii="Times New Roman" w:hAnsi="Times New Roman"/>
                <w:szCs w:val="24"/>
              </w:rPr>
            </w:pPr>
            <w:r>
              <w:rPr>
                <w:rFonts w:ascii="Times New Roman" w:hAnsi="Times New Roman"/>
                <w:szCs w:val="24"/>
              </w:rPr>
              <w:t>Construction</w:t>
            </w:r>
          </w:p>
        </w:tc>
        <w:tc>
          <w:tcPr>
            <w:tcW w:w="1800" w:type="dxa"/>
          </w:tcPr>
          <w:p w14:paraId="4487A03E">
            <w:pPr>
              <w:spacing w:line="240" w:lineRule="auto"/>
              <w:rPr>
                <w:rFonts w:ascii="Times New Roman" w:hAnsi="Times New Roman"/>
                <w:szCs w:val="24"/>
              </w:rPr>
            </w:pPr>
            <w:r>
              <w:rPr>
                <w:rFonts w:ascii="Times New Roman" w:hAnsi="Times New Roman"/>
                <w:szCs w:val="24"/>
              </w:rPr>
              <w:t xml:space="preserve">HIV &amp; AIDS </w:t>
            </w:r>
          </w:p>
        </w:tc>
        <w:tc>
          <w:tcPr>
            <w:tcW w:w="3330" w:type="dxa"/>
          </w:tcPr>
          <w:p w14:paraId="221B4437">
            <w:pPr>
              <w:pStyle w:val="32"/>
              <w:numPr>
                <w:ilvl w:val="0"/>
                <w:numId w:val="89"/>
              </w:numPr>
              <w:spacing w:line="240" w:lineRule="auto"/>
              <w:rPr>
                <w:rFonts w:ascii="Times New Roman" w:hAnsi="Times New Roman"/>
                <w:szCs w:val="24"/>
              </w:rPr>
            </w:pPr>
            <w:r>
              <w:rPr>
                <w:rFonts w:ascii="Times New Roman" w:hAnsi="Times New Roman"/>
                <w:szCs w:val="24"/>
              </w:rPr>
              <w:t>Number campaign meetings on transmission of diseases like HIV/AIDS and other STDs.</w:t>
            </w:r>
          </w:p>
          <w:p w14:paraId="0B14B5B8">
            <w:pPr>
              <w:pStyle w:val="32"/>
              <w:numPr>
                <w:ilvl w:val="0"/>
                <w:numId w:val="89"/>
              </w:numPr>
              <w:spacing w:line="240" w:lineRule="auto"/>
              <w:rPr>
                <w:rFonts w:ascii="Times New Roman" w:hAnsi="Times New Roman"/>
                <w:szCs w:val="24"/>
              </w:rPr>
            </w:pPr>
            <w:r>
              <w:rPr>
                <w:rFonts w:ascii="Times New Roman" w:hAnsi="Times New Roman"/>
                <w:szCs w:val="24"/>
              </w:rPr>
              <w:t>Number of condom dispensers within the site.</w:t>
            </w:r>
          </w:p>
          <w:p w14:paraId="348C0F1D">
            <w:pPr>
              <w:pStyle w:val="32"/>
              <w:numPr>
                <w:ilvl w:val="0"/>
                <w:numId w:val="89"/>
              </w:numPr>
              <w:spacing w:line="240" w:lineRule="auto"/>
              <w:rPr>
                <w:rFonts w:ascii="Times New Roman" w:hAnsi="Times New Roman"/>
                <w:szCs w:val="24"/>
              </w:rPr>
            </w:pPr>
            <w:r>
              <w:rPr>
                <w:rFonts w:ascii="Times New Roman" w:hAnsi="Times New Roman"/>
                <w:szCs w:val="24"/>
              </w:rPr>
              <w:t>Number of ARVs provided to vulnerable persons</w:t>
            </w:r>
          </w:p>
        </w:tc>
        <w:tc>
          <w:tcPr>
            <w:tcW w:w="2430" w:type="dxa"/>
          </w:tcPr>
          <w:p w14:paraId="7C2C9902">
            <w:pPr>
              <w:pStyle w:val="32"/>
              <w:numPr>
                <w:ilvl w:val="0"/>
                <w:numId w:val="89"/>
              </w:numPr>
              <w:spacing w:line="240" w:lineRule="auto"/>
              <w:rPr>
                <w:rFonts w:ascii="Times New Roman" w:hAnsi="Times New Roman"/>
                <w:szCs w:val="24"/>
              </w:rPr>
            </w:pPr>
            <w:r>
              <w:rPr>
                <w:rFonts w:ascii="Times New Roman" w:hAnsi="Times New Roman"/>
                <w:szCs w:val="24"/>
              </w:rPr>
              <w:t>Inspection of HIV/AIDS prevention services within the site.</w:t>
            </w:r>
          </w:p>
          <w:p w14:paraId="55F6DAE2">
            <w:pPr>
              <w:pStyle w:val="32"/>
              <w:numPr>
                <w:ilvl w:val="0"/>
                <w:numId w:val="89"/>
              </w:numPr>
              <w:spacing w:line="240" w:lineRule="auto"/>
              <w:rPr>
                <w:rFonts w:ascii="Times New Roman" w:hAnsi="Times New Roman"/>
                <w:szCs w:val="24"/>
              </w:rPr>
            </w:pPr>
            <w:r>
              <w:rPr>
                <w:rFonts w:ascii="Times New Roman" w:hAnsi="Times New Roman"/>
                <w:szCs w:val="24"/>
              </w:rPr>
              <w:t>Number of condoms, ARVs provided.</w:t>
            </w:r>
          </w:p>
        </w:tc>
        <w:tc>
          <w:tcPr>
            <w:tcW w:w="1530" w:type="dxa"/>
          </w:tcPr>
          <w:p w14:paraId="7A38055C">
            <w:pPr>
              <w:spacing w:line="240" w:lineRule="auto"/>
              <w:rPr>
                <w:rFonts w:ascii="Times New Roman" w:hAnsi="Times New Roman"/>
                <w:szCs w:val="24"/>
              </w:rPr>
            </w:pPr>
            <w:r>
              <w:rPr>
                <w:rFonts w:ascii="Times New Roman" w:hAnsi="Times New Roman"/>
                <w:szCs w:val="24"/>
              </w:rPr>
              <w:t>Monthly</w:t>
            </w:r>
          </w:p>
        </w:tc>
        <w:tc>
          <w:tcPr>
            <w:tcW w:w="1980" w:type="dxa"/>
          </w:tcPr>
          <w:p w14:paraId="5232A4E3">
            <w:pPr>
              <w:spacing w:line="240" w:lineRule="auto"/>
              <w:rPr>
                <w:rFonts w:ascii="Times New Roman" w:hAnsi="Times New Roman"/>
                <w:szCs w:val="24"/>
              </w:rPr>
            </w:pPr>
            <w:r>
              <w:rPr>
                <w:rFonts w:ascii="Times New Roman" w:hAnsi="Times New Roman"/>
                <w:szCs w:val="24"/>
              </w:rPr>
              <w:t>Contractor</w:t>
            </w:r>
          </w:p>
          <w:p w14:paraId="7BEC8C13">
            <w:pPr>
              <w:spacing w:line="240" w:lineRule="auto"/>
              <w:rPr>
                <w:rFonts w:ascii="Times New Roman" w:hAnsi="Times New Roman"/>
                <w:szCs w:val="24"/>
              </w:rPr>
            </w:pPr>
            <w:r>
              <w:rPr>
                <w:rFonts w:ascii="Times New Roman" w:hAnsi="Times New Roman"/>
                <w:szCs w:val="24"/>
              </w:rPr>
              <w:t>Environmental Supervisor</w:t>
            </w:r>
          </w:p>
        </w:tc>
        <w:tc>
          <w:tcPr>
            <w:tcW w:w="1980" w:type="dxa"/>
          </w:tcPr>
          <w:p w14:paraId="3CC6BF85">
            <w:pPr>
              <w:spacing w:line="240" w:lineRule="auto"/>
              <w:rPr>
                <w:rFonts w:ascii="Times New Roman" w:hAnsi="Times New Roman"/>
                <w:szCs w:val="24"/>
              </w:rPr>
            </w:pPr>
            <w:r>
              <w:rPr>
                <w:rFonts w:ascii="Times New Roman" w:hAnsi="Times New Roman"/>
                <w:szCs w:val="24"/>
              </w:rPr>
              <w:t>Implement recommendations</w:t>
            </w:r>
          </w:p>
        </w:tc>
      </w:tr>
      <w:tr w14:paraId="05CCE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47F3EC9E">
            <w:pPr>
              <w:spacing w:line="240" w:lineRule="auto"/>
              <w:rPr>
                <w:rFonts w:ascii="Times New Roman" w:hAnsi="Times New Roman"/>
                <w:szCs w:val="24"/>
              </w:rPr>
            </w:pPr>
            <w:r>
              <w:rPr>
                <w:rFonts w:ascii="Times New Roman" w:hAnsi="Times New Roman"/>
                <w:szCs w:val="24"/>
              </w:rPr>
              <w:t>Construction</w:t>
            </w:r>
          </w:p>
        </w:tc>
        <w:tc>
          <w:tcPr>
            <w:tcW w:w="1800" w:type="dxa"/>
          </w:tcPr>
          <w:p w14:paraId="73C93D17">
            <w:pPr>
              <w:spacing w:line="240" w:lineRule="auto"/>
              <w:rPr>
                <w:rFonts w:ascii="Times New Roman" w:hAnsi="Times New Roman"/>
                <w:szCs w:val="24"/>
              </w:rPr>
            </w:pPr>
            <w:r>
              <w:rPr>
                <w:rFonts w:ascii="Times New Roman" w:hAnsi="Times New Roman"/>
                <w:szCs w:val="24"/>
              </w:rPr>
              <w:t>Gender Empowerment</w:t>
            </w:r>
          </w:p>
        </w:tc>
        <w:tc>
          <w:tcPr>
            <w:tcW w:w="3330" w:type="dxa"/>
          </w:tcPr>
          <w:p w14:paraId="0A399771">
            <w:pPr>
              <w:pStyle w:val="32"/>
              <w:numPr>
                <w:ilvl w:val="0"/>
                <w:numId w:val="89"/>
              </w:numPr>
              <w:spacing w:line="240" w:lineRule="auto"/>
              <w:rPr>
                <w:rFonts w:ascii="Times New Roman" w:hAnsi="Times New Roman"/>
                <w:szCs w:val="24"/>
              </w:rPr>
            </w:pPr>
            <w:r>
              <w:rPr>
                <w:rFonts w:ascii="Times New Roman" w:hAnsi="Times New Roman"/>
                <w:szCs w:val="24"/>
              </w:rPr>
              <w:t>Number of female employees</w:t>
            </w:r>
          </w:p>
          <w:p w14:paraId="5E7375BC">
            <w:pPr>
              <w:pStyle w:val="32"/>
              <w:numPr>
                <w:ilvl w:val="0"/>
                <w:numId w:val="89"/>
              </w:numPr>
              <w:spacing w:line="240" w:lineRule="auto"/>
              <w:rPr>
                <w:rFonts w:ascii="Times New Roman" w:hAnsi="Times New Roman"/>
                <w:szCs w:val="24"/>
              </w:rPr>
            </w:pPr>
            <w:r>
              <w:rPr>
                <w:rFonts w:ascii="Times New Roman" w:hAnsi="Times New Roman"/>
                <w:szCs w:val="24"/>
              </w:rPr>
              <w:t>Number of male and female toilets</w:t>
            </w:r>
          </w:p>
        </w:tc>
        <w:tc>
          <w:tcPr>
            <w:tcW w:w="2430" w:type="dxa"/>
          </w:tcPr>
          <w:p w14:paraId="0E78832B">
            <w:pPr>
              <w:pStyle w:val="32"/>
              <w:numPr>
                <w:ilvl w:val="0"/>
                <w:numId w:val="89"/>
              </w:numPr>
              <w:spacing w:line="240" w:lineRule="auto"/>
              <w:rPr>
                <w:rFonts w:ascii="Times New Roman" w:hAnsi="Times New Roman"/>
                <w:szCs w:val="24"/>
              </w:rPr>
            </w:pPr>
            <w:r>
              <w:rPr>
                <w:rFonts w:ascii="Times New Roman" w:hAnsi="Times New Roman"/>
                <w:szCs w:val="24"/>
              </w:rPr>
              <w:t>Review of company staff records.</w:t>
            </w:r>
          </w:p>
          <w:p w14:paraId="404CC23E">
            <w:pPr>
              <w:pStyle w:val="32"/>
              <w:numPr>
                <w:ilvl w:val="0"/>
                <w:numId w:val="89"/>
              </w:numPr>
              <w:spacing w:line="240" w:lineRule="auto"/>
              <w:rPr>
                <w:rFonts w:ascii="Times New Roman" w:hAnsi="Times New Roman"/>
                <w:szCs w:val="24"/>
              </w:rPr>
            </w:pPr>
            <w:r>
              <w:rPr>
                <w:rFonts w:ascii="Times New Roman" w:hAnsi="Times New Roman"/>
                <w:szCs w:val="24"/>
              </w:rPr>
              <w:t>Physical Inspection</w:t>
            </w:r>
          </w:p>
        </w:tc>
        <w:tc>
          <w:tcPr>
            <w:tcW w:w="1530" w:type="dxa"/>
          </w:tcPr>
          <w:p w14:paraId="5BC49226">
            <w:pPr>
              <w:spacing w:line="240" w:lineRule="auto"/>
              <w:rPr>
                <w:rFonts w:ascii="Times New Roman" w:hAnsi="Times New Roman"/>
                <w:szCs w:val="24"/>
              </w:rPr>
            </w:pPr>
            <w:r>
              <w:rPr>
                <w:rFonts w:ascii="Times New Roman" w:hAnsi="Times New Roman"/>
                <w:szCs w:val="24"/>
              </w:rPr>
              <w:t>Monthly</w:t>
            </w:r>
          </w:p>
        </w:tc>
        <w:tc>
          <w:tcPr>
            <w:tcW w:w="1980" w:type="dxa"/>
          </w:tcPr>
          <w:p w14:paraId="1F279C8A">
            <w:pPr>
              <w:spacing w:line="240" w:lineRule="auto"/>
              <w:rPr>
                <w:rFonts w:ascii="Times New Roman" w:hAnsi="Times New Roman"/>
                <w:szCs w:val="24"/>
              </w:rPr>
            </w:pPr>
            <w:r>
              <w:rPr>
                <w:rFonts w:ascii="Times New Roman" w:hAnsi="Times New Roman"/>
                <w:szCs w:val="24"/>
              </w:rPr>
              <w:t>Environmental Supervisor</w:t>
            </w:r>
          </w:p>
        </w:tc>
        <w:tc>
          <w:tcPr>
            <w:tcW w:w="1980" w:type="dxa"/>
          </w:tcPr>
          <w:p w14:paraId="4DAD20B7">
            <w:pPr>
              <w:spacing w:line="240" w:lineRule="auto"/>
              <w:rPr>
                <w:rFonts w:ascii="Times New Roman" w:hAnsi="Times New Roman"/>
                <w:szCs w:val="24"/>
              </w:rPr>
            </w:pPr>
            <w:r>
              <w:rPr>
                <w:rFonts w:ascii="Times New Roman" w:hAnsi="Times New Roman"/>
                <w:szCs w:val="24"/>
              </w:rPr>
              <w:t>Implement recommendations</w:t>
            </w:r>
          </w:p>
        </w:tc>
      </w:tr>
      <w:tr w14:paraId="5FD25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2147E27B">
            <w:pPr>
              <w:spacing w:line="240" w:lineRule="auto"/>
              <w:rPr>
                <w:rFonts w:ascii="Times New Roman" w:hAnsi="Times New Roman"/>
                <w:szCs w:val="24"/>
              </w:rPr>
            </w:pPr>
            <w:r>
              <w:rPr>
                <w:rFonts w:ascii="Times New Roman" w:hAnsi="Times New Roman"/>
                <w:szCs w:val="24"/>
              </w:rPr>
              <w:t>Construction</w:t>
            </w:r>
          </w:p>
        </w:tc>
        <w:tc>
          <w:tcPr>
            <w:tcW w:w="1800" w:type="dxa"/>
          </w:tcPr>
          <w:p w14:paraId="5DC8435A">
            <w:pPr>
              <w:spacing w:line="240" w:lineRule="auto"/>
              <w:rPr>
                <w:rFonts w:ascii="Times New Roman" w:hAnsi="Times New Roman"/>
                <w:szCs w:val="24"/>
              </w:rPr>
            </w:pPr>
            <w:r>
              <w:rPr>
                <w:rFonts w:ascii="Times New Roman" w:hAnsi="Times New Roman"/>
                <w:szCs w:val="24"/>
              </w:rPr>
              <w:t>Child Labour and Protection</w:t>
            </w:r>
          </w:p>
        </w:tc>
        <w:tc>
          <w:tcPr>
            <w:tcW w:w="3330" w:type="dxa"/>
          </w:tcPr>
          <w:p w14:paraId="66CCB626">
            <w:pPr>
              <w:pStyle w:val="32"/>
              <w:numPr>
                <w:ilvl w:val="0"/>
                <w:numId w:val="89"/>
              </w:numPr>
              <w:spacing w:line="240" w:lineRule="auto"/>
              <w:rPr>
                <w:rFonts w:ascii="Times New Roman" w:hAnsi="Times New Roman"/>
                <w:szCs w:val="24"/>
              </w:rPr>
            </w:pPr>
            <w:r>
              <w:rPr>
                <w:rFonts w:ascii="Times New Roman" w:hAnsi="Times New Roman"/>
                <w:szCs w:val="24"/>
              </w:rPr>
              <w:t xml:space="preserve">Code of conduct </w:t>
            </w:r>
          </w:p>
          <w:p w14:paraId="5674C391">
            <w:pPr>
              <w:pStyle w:val="32"/>
              <w:numPr>
                <w:ilvl w:val="0"/>
                <w:numId w:val="89"/>
              </w:numPr>
              <w:spacing w:line="240" w:lineRule="auto"/>
              <w:rPr>
                <w:rFonts w:ascii="Times New Roman" w:hAnsi="Times New Roman"/>
                <w:szCs w:val="24"/>
              </w:rPr>
            </w:pPr>
            <w:r>
              <w:rPr>
                <w:rFonts w:ascii="Times New Roman" w:hAnsi="Times New Roman"/>
                <w:szCs w:val="24"/>
              </w:rPr>
              <w:t>Record of employees including IDs</w:t>
            </w:r>
          </w:p>
        </w:tc>
        <w:tc>
          <w:tcPr>
            <w:tcW w:w="2430" w:type="dxa"/>
          </w:tcPr>
          <w:p w14:paraId="587F83DE">
            <w:pPr>
              <w:pStyle w:val="32"/>
              <w:numPr>
                <w:ilvl w:val="0"/>
                <w:numId w:val="89"/>
              </w:numPr>
              <w:spacing w:line="240" w:lineRule="auto"/>
              <w:rPr>
                <w:rFonts w:ascii="Times New Roman" w:hAnsi="Times New Roman"/>
                <w:szCs w:val="24"/>
              </w:rPr>
            </w:pPr>
            <w:r>
              <w:rPr>
                <w:rFonts w:ascii="Times New Roman" w:hAnsi="Times New Roman"/>
                <w:szCs w:val="24"/>
              </w:rPr>
              <w:t>Review of records</w:t>
            </w:r>
          </w:p>
          <w:p w14:paraId="2EF2AE98">
            <w:pPr>
              <w:pStyle w:val="32"/>
              <w:numPr>
                <w:ilvl w:val="0"/>
                <w:numId w:val="89"/>
              </w:numPr>
              <w:spacing w:line="240" w:lineRule="auto"/>
              <w:rPr>
                <w:rFonts w:ascii="Times New Roman" w:hAnsi="Times New Roman"/>
                <w:szCs w:val="24"/>
              </w:rPr>
            </w:pPr>
            <w:r>
              <w:rPr>
                <w:rFonts w:ascii="Times New Roman" w:hAnsi="Times New Roman"/>
                <w:szCs w:val="24"/>
              </w:rPr>
              <w:t>Interviews with staff and local community</w:t>
            </w:r>
          </w:p>
        </w:tc>
        <w:tc>
          <w:tcPr>
            <w:tcW w:w="1530" w:type="dxa"/>
          </w:tcPr>
          <w:p w14:paraId="2F20D9FB">
            <w:pPr>
              <w:spacing w:line="240" w:lineRule="auto"/>
              <w:rPr>
                <w:rFonts w:ascii="Times New Roman" w:hAnsi="Times New Roman"/>
                <w:szCs w:val="24"/>
              </w:rPr>
            </w:pPr>
            <w:r>
              <w:rPr>
                <w:rFonts w:ascii="Times New Roman" w:hAnsi="Times New Roman"/>
                <w:szCs w:val="24"/>
              </w:rPr>
              <w:t>Monthly</w:t>
            </w:r>
          </w:p>
        </w:tc>
        <w:tc>
          <w:tcPr>
            <w:tcW w:w="1980" w:type="dxa"/>
          </w:tcPr>
          <w:p w14:paraId="1A574714">
            <w:pPr>
              <w:spacing w:line="240" w:lineRule="auto"/>
              <w:rPr>
                <w:rFonts w:ascii="Times New Roman" w:hAnsi="Times New Roman"/>
                <w:szCs w:val="24"/>
              </w:rPr>
            </w:pPr>
            <w:r>
              <w:rPr>
                <w:rFonts w:ascii="Times New Roman" w:hAnsi="Times New Roman"/>
                <w:szCs w:val="24"/>
              </w:rPr>
              <w:t>Environmental Supervisor</w:t>
            </w:r>
          </w:p>
        </w:tc>
        <w:tc>
          <w:tcPr>
            <w:tcW w:w="1980" w:type="dxa"/>
          </w:tcPr>
          <w:p w14:paraId="214E9C64">
            <w:pPr>
              <w:spacing w:line="240" w:lineRule="auto"/>
              <w:rPr>
                <w:rFonts w:ascii="Times New Roman" w:hAnsi="Times New Roman"/>
                <w:szCs w:val="24"/>
              </w:rPr>
            </w:pPr>
            <w:r>
              <w:rPr>
                <w:rFonts w:ascii="Times New Roman" w:hAnsi="Times New Roman"/>
                <w:szCs w:val="24"/>
              </w:rPr>
              <w:t>Implement recommendations</w:t>
            </w:r>
          </w:p>
        </w:tc>
      </w:tr>
      <w:tr w14:paraId="3DD3B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248BBA56">
            <w:pPr>
              <w:spacing w:line="240" w:lineRule="auto"/>
              <w:rPr>
                <w:rFonts w:ascii="Times New Roman" w:hAnsi="Times New Roman"/>
                <w:szCs w:val="24"/>
              </w:rPr>
            </w:pPr>
            <w:r>
              <w:rPr>
                <w:rFonts w:ascii="Times New Roman" w:hAnsi="Times New Roman"/>
                <w:szCs w:val="24"/>
              </w:rPr>
              <w:t>Construction</w:t>
            </w:r>
          </w:p>
        </w:tc>
        <w:tc>
          <w:tcPr>
            <w:tcW w:w="1800" w:type="dxa"/>
          </w:tcPr>
          <w:p w14:paraId="1F78433F">
            <w:pPr>
              <w:spacing w:line="240" w:lineRule="auto"/>
              <w:rPr>
                <w:rFonts w:ascii="Times New Roman" w:hAnsi="Times New Roman"/>
                <w:szCs w:val="24"/>
              </w:rPr>
            </w:pPr>
            <w:r>
              <w:rPr>
                <w:rFonts w:ascii="Times New Roman" w:hAnsi="Times New Roman"/>
                <w:szCs w:val="24"/>
              </w:rPr>
              <w:t>Gender Equity, Sexual Harassment</w:t>
            </w:r>
          </w:p>
        </w:tc>
        <w:tc>
          <w:tcPr>
            <w:tcW w:w="3330" w:type="dxa"/>
          </w:tcPr>
          <w:p w14:paraId="63B87EBB">
            <w:pPr>
              <w:pStyle w:val="32"/>
              <w:numPr>
                <w:ilvl w:val="0"/>
                <w:numId w:val="89"/>
              </w:numPr>
              <w:spacing w:line="240" w:lineRule="auto"/>
              <w:rPr>
                <w:rFonts w:ascii="Times New Roman" w:hAnsi="Times New Roman"/>
                <w:szCs w:val="24"/>
              </w:rPr>
            </w:pPr>
            <w:r>
              <w:rPr>
                <w:rFonts w:ascii="Times New Roman" w:hAnsi="Times New Roman"/>
                <w:szCs w:val="24"/>
              </w:rPr>
              <w:t>Contractor’s SH Policy</w:t>
            </w:r>
          </w:p>
          <w:p w14:paraId="37E2CAA3">
            <w:pPr>
              <w:pStyle w:val="32"/>
              <w:numPr>
                <w:ilvl w:val="0"/>
                <w:numId w:val="89"/>
              </w:numPr>
              <w:spacing w:line="240" w:lineRule="auto"/>
              <w:rPr>
                <w:rFonts w:ascii="Times New Roman" w:hAnsi="Times New Roman"/>
                <w:szCs w:val="24"/>
              </w:rPr>
            </w:pPr>
            <w:r>
              <w:rPr>
                <w:rFonts w:ascii="Times New Roman" w:hAnsi="Times New Roman"/>
                <w:szCs w:val="24"/>
              </w:rPr>
              <w:t>Number of trainings for staff on SH</w:t>
            </w:r>
          </w:p>
          <w:p w14:paraId="1284AEFA">
            <w:pPr>
              <w:pStyle w:val="32"/>
              <w:numPr>
                <w:ilvl w:val="0"/>
                <w:numId w:val="89"/>
              </w:numPr>
              <w:spacing w:line="240" w:lineRule="auto"/>
              <w:rPr>
                <w:rFonts w:ascii="Times New Roman" w:hAnsi="Times New Roman"/>
                <w:szCs w:val="24"/>
              </w:rPr>
            </w:pPr>
            <w:r>
              <w:rPr>
                <w:rFonts w:ascii="Times New Roman" w:hAnsi="Times New Roman"/>
                <w:szCs w:val="24"/>
              </w:rPr>
              <w:t>Number of complaints</w:t>
            </w:r>
          </w:p>
          <w:p w14:paraId="0739658B">
            <w:pPr>
              <w:pStyle w:val="32"/>
              <w:numPr>
                <w:ilvl w:val="0"/>
                <w:numId w:val="89"/>
              </w:numPr>
              <w:spacing w:line="240" w:lineRule="auto"/>
              <w:rPr>
                <w:rFonts w:ascii="Times New Roman" w:hAnsi="Times New Roman"/>
                <w:szCs w:val="24"/>
              </w:rPr>
            </w:pPr>
            <w:r>
              <w:rPr>
                <w:rFonts w:ascii="Times New Roman" w:hAnsi="Times New Roman"/>
                <w:szCs w:val="24"/>
              </w:rPr>
              <w:t>HR trained in SH</w:t>
            </w:r>
          </w:p>
        </w:tc>
        <w:tc>
          <w:tcPr>
            <w:tcW w:w="2430" w:type="dxa"/>
          </w:tcPr>
          <w:p w14:paraId="3FF94C3B">
            <w:pPr>
              <w:pStyle w:val="32"/>
              <w:numPr>
                <w:ilvl w:val="0"/>
                <w:numId w:val="89"/>
              </w:numPr>
              <w:spacing w:line="240" w:lineRule="auto"/>
              <w:rPr>
                <w:rFonts w:ascii="Times New Roman" w:hAnsi="Times New Roman"/>
                <w:szCs w:val="24"/>
              </w:rPr>
            </w:pPr>
            <w:r>
              <w:rPr>
                <w:rFonts w:ascii="Times New Roman" w:hAnsi="Times New Roman"/>
                <w:szCs w:val="24"/>
              </w:rPr>
              <w:t>Review of grievance redress forms.</w:t>
            </w:r>
          </w:p>
          <w:p w14:paraId="59EE38E4">
            <w:pPr>
              <w:pStyle w:val="32"/>
              <w:numPr>
                <w:ilvl w:val="0"/>
                <w:numId w:val="89"/>
              </w:numPr>
              <w:spacing w:line="240" w:lineRule="auto"/>
              <w:rPr>
                <w:rFonts w:ascii="Times New Roman" w:hAnsi="Times New Roman"/>
                <w:szCs w:val="24"/>
              </w:rPr>
            </w:pPr>
            <w:r>
              <w:rPr>
                <w:rFonts w:ascii="Times New Roman" w:hAnsi="Times New Roman"/>
                <w:szCs w:val="24"/>
              </w:rPr>
              <w:t>Interviews with local community</w:t>
            </w:r>
          </w:p>
        </w:tc>
        <w:tc>
          <w:tcPr>
            <w:tcW w:w="1530" w:type="dxa"/>
          </w:tcPr>
          <w:p w14:paraId="23096B48">
            <w:pPr>
              <w:spacing w:line="240" w:lineRule="auto"/>
              <w:rPr>
                <w:rFonts w:ascii="Times New Roman" w:hAnsi="Times New Roman"/>
                <w:szCs w:val="24"/>
              </w:rPr>
            </w:pPr>
            <w:r>
              <w:rPr>
                <w:rFonts w:ascii="Times New Roman" w:hAnsi="Times New Roman"/>
                <w:szCs w:val="24"/>
              </w:rPr>
              <w:t>Monthly</w:t>
            </w:r>
          </w:p>
        </w:tc>
        <w:tc>
          <w:tcPr>
            <w:tcW w:w="1980" w:type="dxa"/>
          </w:tcPr>
          <w:p w14:paraId="3B656493">
            <w:pPr>
              <w:spacing w:line="240" w:lineRule="auto"/>
              <w:rPr>
                <w:rFonts w:ascii="Times New Roman" w:hAnsi="Times New Roman"/>
                <w:szCs w:val="24"/>
              </w:rPr>
            </w:pPr>
            <w:r>
              <w:rPr>
                <w:rFonts w:ascii="Times New Roman" w:hAnsi="Times New Roman"/>
                <w:szCs w:val="24"/>
              </w:rPr>
              <w:t>Environmental Supervisor</w:t>
            </w:r>
          </w:p>
        </w:tc>
        <w:tc>
          <w:tcPr>
            <w:tcW w:w="1980" w:type="dxa"/>
          </w:tcPr>
          <w:p w14:paraId="3BD036D1">
            <w:pPr>
              <w:spacing w:line="240" w:lineRule="auto"/>
              <w:rPr>
                <w:rFonts w:ascii="Times New Roman" w:hAnsi="Times New Roman"/>
                <w:szCs w:val="24"/>
              </w:rPr>
            </w:pPr>
            <w:r>
              <w:rPr>
                <w:rFonts w:ascii="Times New Roman" w:hAnsi="Times New Roman"/>
                <w:szCs w:val="24"/>
              </w:rPr>
              <w:t>Implement recommendations</w:t>
            </w:r>
          </w:p>
        </w:tc>
      </w:tr>
      <w:tr w14:paraId="6D544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7EA5D041">
            <w:pPr>
              <w:spacing w:line="240" w:lineRule="auto"/>
              <w:rPr>
                <w:rFonts w:ascii="Times New Roman" w:hAnsi="Times New Roman"/>
                <w:szCs w:val="24"/>
              </w:rPr>
            </w:pPr>
            <w:r>
              <w:rPr>
                <w:rFonts w:ascii="Times New Roman" w:hAnsi="Times New Roman"/>
                <w:szCs w:val="24"/>
              </w:rPr>
              <w:t>Construction</w:t>
            </w:r>
          </w:p>
        </w:tc>
        <w:tc>
          <w:tcPr>
            <w:tcW w:w="1800" w:type="dxa"/>
          </w:tcPr>
          <w:p w14:paraId="3A334A12">
            <w:pPr>
              <w:spacing w:line="240" w:lineRule="auto"/>
              <w:rPr>
                <w:rFonts w:ascii="Times New Roman" w:hAnsi="Times New Roman"/>
                <w:szCs w:val="24"/>
              </w:rPr>
            </w:pPr>
            <w:r>
              <w:rPr>
                <w:rFonts w:ascii="Times New Roman" w:hAnsi="Times New Roman"/>
                <w:szCs w:val="24"/>
              </w:rPr>
              <w:t>SEAH</w:t>
            </w:r>
          </w:p>
        </w:tc>
        <w:tc>
          <w:tcPr>
            <w:tcW w:w="3330" w:type="dxa"/>
            <w:vAlign w:val="center"/>
          </w:tcPr>
          <w:p w14:paraId="5CAD6323">
            <w:pPr>
              <w:widowControl w:val="0"/>
              <w:numPr>
                <w:ilvl w:val="0"/>
                <w:numId w:val="90"/>
              </w:numPr>
              <w:autoSpaceDE w:val="0"/>
              <w:autoSpaceDN w:val="0"/>
              <w:adjustRightInd w:val="0"/>
              <w:spacing w:after="0" w:line="240" w:lineRule="auto"/>
              <w:ind w:left="326"/>
              <w:contextualSpacing/>
              <w:rPr>
                <w:rFonts w:ascii="Times New Roman" w:hAnsi="Times New Roman" w:eastAsia="Times New Roman"/>
                <w:szCs w:val="24"/>
              </w:rPr>
            </w:pPr>
            <w:r>
              <w:rPr>
                <w:rFonts w:ascii="Times New Roman" w:hAnsi="Times New Roman" w:eastAsia="Times New Roman"/>
                <w:szCs w:val="24"/>
              </w:rPr>
              <w:t>SEAH Action Plan</w:t>
            </w:r>
          </w:p>
          <w:p w14:paraId="02C12450">
            <w:pPr>
              <w:widowControl w:val="0"/>
              <w:numPr>
                <w:ilvl w:val="0"/>
                <w:numId w:val="90"/>
              </w:numPr>
              <w:autoSpaceDE w:val="0"/>
              <w:autoSpaceDN w:val="0"/>
              <w:adjustRightInd w:val="0"/>
              <w:spacing w:after="0" w:line="240" w:lineRule="auto"/>
              <w:ind w:left="326"/>
              <w:contextualSpacing/>
              <w:rPr>
                <w:rFonts w:ascii="Times New Roman" w:hAnsi="Times New Roman" w:eastAsia="Times New Roman"/>
                <w:szCs w:val="24"/>
              </w:rPr>
            </w:pPr>
            <w:r>
              <w:rPr>
                <w:rFonts w:ascii="Times New Roman" w:hAnsi="Times New Roman" w:eastAsia="Times New Roman"/>
                <w:szCs w:val="24"/>
              </w:rPr>
              <w:t>Code of Conduct</w:t>
            </w:r>
          </w:p>
          <w:p w14:paraId="469AC86F">
            <w:pPr>
              <w:widowControl w:val="0"/>
              <w:numPr>
                <w:ilvl w:val="0"/>
                <w:numId w:val="90"/>
              </w:numPr>
              <w:autoSpaceDE w:val="0"/>
              <w:autoSpaceDN w:val="0"/>
              <w:adjustRightInd w:val="0"/>
              <w:spacing w:after="0" w:line="240" w:lineRule="auto"/>
              <w:ind w:left="326"/>
              <w:contextualSpacing/>
              <w:rPr>
                <w:rFonts w:ascii="Times New Roman" w:hAnsi="Times New Roman" w:eastAsia="Times New Roman"/>
                <w:szCs w:val="24"/>
              </w:rPr>
            </w:pPr>
            <w:r>
              <w:rPr>
                <w:rFonts w:ascii="Times New Roman" w:hAnsi="Times New Roman" w:eastAsia="Times New Roman"/>
                <w:szCs w:val="24"/>
              </w:rPr>
              <w:t>Number of staff trainings</w:t>
            </w:r>
          </w:p>
          <w:p w14:paraId="3B082D15">
            <w:pPr>
              <w:widowControl w:val="0"/>
              <w:numPr>
                <w:ilvl w:val="0"/>
                <w:numId w:val="90"/>
              </w:numPr>
              <w:autoSpaceDE w:val="0"/>
              <w:autoSpaceDN w:val="0"/>
              <w:adjustRightInd w:val="0"/>
              <w:spacing w:after="0" w:line="240" w:lineRule="auto"/>
              <w:ind w:left="326"/>
              <w:contextualSpacing/>
              <w:rPr>
                <w:rFonts w:ascii="Times New Roman" w:hAnsi="Times New Roman" w:eastAsia="Times New Roman"/>
                <w:szCs w:val="24"/>
                <w:highlight w:val="yellow"/>
              </w:rPr>
            </w:pPr>
            <w:r>
              <w:rPr>
                <w:rFonts w:ascii="Times New Roman" w:hAnsi="Times New Roman" w:eastAsia="Times New Roman"/>
                <w:szCs w:val="24"/>
                <w:highlight w:val="yellow"/>
              </w:rPr>
              <w:t xml:space="preserve">SEAH FP </w:t>
            </w:r>
          </w:p>
          <w:p w14:paraId="43B6588B">
            <w:pPr>
              <w:widowControl w:val="0"/>
              <w:numPr>
                <w:ilvl w:val="0"/>
                <w:numId w:val="90"/>
              </w:numPr>
              <w:autoSpaceDE w:val="0"/>
              <w:autoSpaceDN w:val="0"/>
              <w:adjustRightInd w:val="0"/>
              <w:spacing w:after="0" w:line="240" w:lineRule="auto"/>
              <w:ind w:left="326"/>
              <w:contextualSpacing/>
              <w:rPr>
                <w:rFonts w:ascii="Times New Roman" w:hAnsi="Times New Roman" w:eastAsia="Times New Roman"/>
                <w:szCs w:val="24"/>
              </w:rPr>
            </w:pPr>
            <w:r>
              <w:rPr>
                <w:rFonts w:ascii="Times New Roman" w:hAnsi="Times New Roman" w:eastAsia="Times New Roman"/>
                <w:szCs w:val="24"/>
              </w:rPr>
              <w:t>Community Liaison Officer trained in PSEA</w:t>
            </w:r>
          </w:p>
          <w:p w14:paraId="456FA523">
            <w:pPr>
              <w:widowControl w:val="0"/>
              <w:numPr>
                <w:ilvl w:val="0"/>
                <w:numId w:val="90"/>
              </w:numPr>
              <w:autoSpaceDE w:val="0"/>
              <w:autoSpaceDN w:val="0"/>
              <w:adjustRightInd w:val="0"/>
              <w:spacing w:after="0" w:line="240" w:lineRule="auto"/>
              <w:ind w:left="326"/>
              <w:contextualSpacing/>
              <w:rPr>
                <w:rFonts w:ascii="Times New Roman" w:hAnsi="Times New Roman" w:eastAsia="Times New Roman"/>
                <w:szCs w:val="24"/>
              </w:rPr>
            </w:pPr>
            <w:r>
              <w:rPr>
                <w:rFonts w:ascii="Times New Roman" w:hAnsi="Times New Roman" w:eastAsia="Times New Roman"/>
                <w:szCs w:val="24"/>
              </w:rPr>
              <w:t>IEC materials for worker’s sites and community</w:t>
            </w:r>
          </w:p>
          <w:p w14:paraId="671F04FB">
            <w:pPr>
              <w:widowControl w:val="0"/>
              <w:numPr>
                <w:ilvl w:val="0"/>
                <w:numId w:val="90"/>
              </w:numPr>
              <w:autoSpaceDE w:val="0"/>
              <w:autoSpaceDN w:val="0"/>
              <w:adjustRightInd w:val="0"/>
              <w:spacing w:after="0" w:line="240" w:lineRule="auto"/>
              <w:ind w:left="326"/>
              <w:contextualSpacing/>
              <w:rPr>
                <w:rFonts w:ascii="Times New Roman" w:hAnsi="Times New Roman" w:eastAsia="Times New Roman"/>
                <w:szCs w:val="24"/>
              </w:rPr>
            </w:pPr>
            <w:r>
              <w:rPr>
                <w:rFonts w:ascii="Times New Roman" w:hAnsi="Times New Roman" w:eastAsia="Times New Roman"/>
                <w:szCs w:val="24"/>
              </w:rPr>
              <w:t>Discrete SEAH reporting pathway</w:t>
            </w:r>
          </w:p>
          <w:p w14:paraId="2C0F0626">
            <w:pPr>
              <w:widowControl w:val="0"/>
              <w:numPr>
                <w:ilvl w:val="0"/>
                <w:numId w:val="90"/>
              </w:numPr>
              <w:autoSpaceDE w:val="0"/>
              <w:autoSpaceDN w:val="0"/>
              <w:adjustRightInd w:val="0"/>
              <w:spacing w:after="0" w:line="240" w:lineRule="auto"/>
              <w:ind w:left="326"/>
              <w:contextualSpacing/>
              <w:rPr>
                <w:rFonts w:ascii="Times New Roman" w:hAnsi="Times New Roman"/>
                <w:szCs w:val="24"/>
              </w:rPr>
            </w:pPr>
            <w:r>
              <w:rPr>
                <w:rFonts w:ascii="Times New Roman" w:hAnsi="Times New Roman" w:eastAsia="Times New Roman"/>
                <w:szCs w:val="24"/>
              </w:rPr>
              <w:t>Relevant policies, e.g. investigations and discipline and whistle-blower protection</w:t>
            </w:r>
          </w:p>
          <w:p w14:paraId="576BA809">
            <w:pPr>
              <w:widowControl w:val="0"/>
              <w:numPr>
                <w:ilvl w:val="0"/>
                <w:numId w:val="90"/>
              </w:numPr>
              <w:autoSpaceDE w:val="0"/>
              <w:autoSpaceDN w:val="0"/>
              <w:adjustRightInd w:val="0"/>
              <w:spacing w:after="0" w:line="240" w:lineRule="auto"/>
              <w:ind w:left="326"/>
              <w:contextualSpacing/>
              <w:rPr>
                <w:rFonts w:ascii="Times New Roman" w:hAnsi="Times New Roman"/>
                <w:szCs w:val="24"/>
              </w:rPr>
            </w:pPr>
            <w:r>
              <w:rPr>
                <w:rFonts w:ascii="Times New Roman" w:hAnsi="Times New Roman" w:eastAsia="Times New Roman"/>
                <w:szCs w:val="24"/>
              </w:rPr>
              <w:t>Monthly minutes from SEAH coordination meetings</w:t>
            </w:r>
          </w:p>
        </w:tc>
        <w:tc>
          <w:tcPr>
            <w:tcW w:w="2430" w:type="dxa"/>
          </w:tcPr>
          <w:p w14:paraId="581A3F01">
            <w:pPr>
              <w:pStyle w:val="32"/>
              <w:numPr>
                <w:ilvl w:val="0"/>
                <w:numId w:val="89"/>
              </w:numPr>
              <w:spacing w:line="240" w:lineRule="auto"/>
              <w:rPr>
                <w:rFonts w:ascii="Times New Roman" w:hAnsi="Times New Roman"/>
                <w:szCs w:val="24"/>
              </w:rPr>
            </w:pPr>
            <w:r>
              <w:rPr>
                <w:rFonts w:ascii="Times New Roman" w:hAnsi="Times New Roman"/>
                <w:szCs w:val="24"/>
              </w:rPr>
              <w:t>Review SEAH action Plan</w:t>
            </w:r>
          </w:p>
          <w:p w14:paraId="01EFEC1F">
            <w:pPr>
              <w:pStyle w:val="32"/>
              <w:numPr>
                <w:ilvl w:val="0"/>
                <w:numId w:val="89"/>
              </w:numPr>
              <w:spacing w:line="240" w:lineRule="auto"/>
              <w:rPr>
                <w:rFonts w:ascii="Times New Roman" w:hAnsi="Times New Roman"/>
                <w:szCs w:val="24"/>
              </w:rPr>
            </w:pPr>
            <w:r>
              <w:rPr>
                <w:rFonts w:ascii="Times New Roman" w:hAnsi="Times New Roman"/>
                <w:szCs w:val="24"/>
              </w:rPr>
              <w:t>Self-aware staff</w:t>
            </w:r>
          </w:p>
          <w:p w14:paraId="6C42242C">
            <w:pPr>
              <w:pStyle w:val="32"/>
              <w:numPr>
                <w:ilvl w:val="0"/>
                <w:numId w:val="89"/>
              </w:numPr>
              <w:spacing w:line="240" w:lineRule="auto"/>
              <w:rPr>
                <w:rFonts w:ascii="Times New Roman" w:hAnsi="Times New Roman"/>
                <w:szCs w:val="24"/>
              </w:rPr>
            </w:pPr>
            <w:r>
              <w:rPr>
                <w:rFonts w:ascii="Times New Roman" w:hAnsi="Times New Roman"/>
                <w:szCs w:val="24"/>
              </w:rPr>
              <w:t>SEAH Reports</w:t>
            </w:r>
          </w:p>
        </w:tc>
        <w:tc>
          <w:tcPr>
            <w:tcW w:w="1530" w:type="dxa"/>
          </w:tcPr>
          <w:p w14:paraId="40728DB2">
            <w:pPr>
              <w:spacing w:line="240" w:lineRule="auto"/>
              <w:rPr>
                <w:rFonts w:ascii="Times New Roman" w:hAnsi="Times New Roman"/>
                <w:szCs w:val="24"/>
              </w:rPr>
            </w:pPr>
            <w:r>
              <w:rPr>
                <w:rFonts w:ascii="Times New Roman" w:hAnsi="Times New Roman"/>
                <w:szCs w:val="24"/>
              </w:rPr>
              <w:t>Monthly</w:t>
            </w:r>
          </w:p>
        </w:tc>
        <w:tc>
          <w:tcPr>
            <w:tcW w:w="1980" w:type="dxa"/>
          </w:tcPr>
          <w:p w14:paraId="05B2AAD4">
            <w:pPr>
              <w:spacing w:line="240" w:lineRule="auto"/>
              <w:rPr>
                <w:rFonts w:ascii="Times New Roman" w:hAnsi="Times New Roman"/>
                <w:szCs w:val="24"/>
              </w:rPr>
            </w:pPr>
            <w:r>
              <w:rPr>
                <w:rFonts w:ascii="Times New Roman" w:hAnsi="Times New Roman"/>
                <w:szCs w:val="24"/>
              </w:rPr>
              <w:t>Community Liaison Officer</w:t>
            </w:r>
          </w:p>
          <w:p w14:paraId="32502D3B">
            <w:pPr>
              <w:spacing w:line="240" w:lineRule="auto"/>
              <w:rPr>
                <w:rFonts w:ascii="Times New Roman" w:hAnsi="Times New Roman"/>
                <w:szCs w:val="24"/>
              </w:rPr>
            </w:pPr>
            <w:r>
              <w:rPr>
                <w:rFonts w:ascii="Times New Roman" w:hAnsi="Times New Roman"/>
                <w:szCs w:val="24"/>
              </w:rPr>
              <w:t>Trained SEA/GBV Officer</w:t>
            </w:r>
          </w:p>
        </w:tc>
        <w:tc>
          <w:tcPr>
            <w:tcW w:w="1980" w:type="dxa"/>
          </w:tcPr>
          <w:p w14:paraId="48E3FC56">
            <w:pPr>
              <w:spacing w:line="240" w:lineRule="auto"/>
              <w:rPr>
                <w:rFonts w:ascii="Times New Roman" w:hAnsi="Times New Roman"/>
                <w:szCs w:val="24"/>
              </w:rPr>
            </w:pPr>
            <w:r>
              <w:rPr>
                <w:rFonts w:ascii="Times New Roman" w:hAnsi="Times New Roman"/>
                <w:szCs w:val="24"/>
              </w:rPr>
              <w:t>Implement recommendations</w:t>
            </w:r>
          </w:p>
        </w:tc>
      </w:tr>
      <w:tr w14:paraId="5C9C7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55875C2C">
            <w:pPr>
              <w:spacing w:line="240" w:lineRule="auto"/>
              <w:rPr>
                <w:rFonts w:ascii="Times New Roman" w:hAnsi="Times New Roman"/>
                <w:szCs w:val="24"/>
              </w:rPr>
            </w:pPr>
            <w:r>
              <w:rPr>
                <w:rFonts w:ascii="Times New Roman" w:hAnsi="Times New Roman"/>
                <w:szCs w:val="24"/>
              </w:rPr>
              <w:t>Construction</w:t>
            </w:r>
          </w:p>
        </w:tc>
        <w:tc>
          <w:tcPr>
            <w:tcW w:w="1800" w:type="dxa"/>
          </w:tcPr>
          <w:p w14:paraId="44E7D954">
            <w:pPr>
              <w:spacing w:line="240" w:lineRule="auto"/>
              <w:rPr>
                <w:rFonts w:ascii="Times New Roman" w:hAnsi="Times New Roman"/>
                <w:szCs w:val="24"/>
              </w:rPr>
            </w:pPr>
            <w:r>
              <w:rPr>
                <w:rFonts w:ascii="Times New Roman" w:hAnsi="Times New Roman"/>
                <w:szCs w:val="24"/>
              </w:rPr>
              <w:t>Crime Management</w:t>
            </w:r>
          </w:p>
        </w:tc>
        <w:tc>
          <w:tcPr>
            <w:tcW w:w="3330" w:type="dxa"/>
          </w:tcPr>
          <w:p w14:paraId="0D894116">
            <w:pPr>
              <w:pStyle w:val="32"/>
              <w:numPr>
                <w:ilvl w:val="0"/>
                <w:numId w:val="89"/>
              </w:numPr>
              <w:spacing w:line="240" w:lineRule="auto"/>
              <w:rPr>
                <w:rFonts w:ascii="Times New Roman" w:hAnsi="Times New Roman"/>
                <w:szCs w:val="24"/>
              </w:rPr>
            </w:pPr>
            <w:r>
              <w:rPr>
                <w:rFonts w:ascii="Times New Roman" w:hAnsi="Times New Roman"/>
                <w:szCs w:val="24"/>
              </w:rPr>
              <w:t>Number of reported crimes</w:t>
            </w:r>
          </w:p>
          <w:p w14:paraId="6592AD1A">
            <w:pPr>
              <w:pStyle w:val="32"/>
              <w:numPr>
                <w:ilvl w:val="0"/>
                <w:numId w:val="89"/>
              </w:numPr>
              <w:spacing w:line="240" w:lineRule="auto"/>
              <w:rPr>
                <w:rFonts w:ascii="Times New Roman" w:hAnsi="Times New Roman"/>
                <w:szCs w:val="24"/>
              </w:rPr>
            </w:pPr>
            <w:r>
              <w:rPr>
                <w:rFonts w:ascii="Times New Roman" w:hAnsi="Times New Roman"/>
                <w:szCs w:val="24"/>
              </w:rPr>
              <w:t>Number of complaints</w:t>
            </w:r>
          </w:p>
        </w:tc>
        <w:tc>
          <w:tcPr>
            <w:tcW w:w="2430" w:type="dxa"/>
          </w:tcPr>
          <w:p w14:paraId="47079C8E">
            <w:pPr>
              <w:pStyle w:val="32"/>
              <w:numPr>
                <w:ilvl w:val="0"/>
                <w:numId w:val="89"/>
              </w:numPr>
              <w:spacing w:line="240" w:lineRule="auto"/>
              <w:rPr>
                <w:rFonts w:ascii="Times New Roman" w:hAnsi="Times New Roman"/>
                <w:szCs w:val="24"/>
              </w:rPr>
            </w:pPr>
            <w:r>
              <w:rPr>
                <w:rFonts w:ascii="Times New Roman" w:hAnsi="Times New Roman"/>
                <w:szCs w:val="24"/>
              </w:rPr>
              <w:t>Review of records</w:t>
            </w:r>
          </w:p>
          <w:p w14:paraId="0A0DD2D3">
            <w:pPr>
              <w:pStyle w:val="32"/>
              <w:numPr>
                <w:ilvl w:val="0"/>
                <w:numId w:val="89"/>
              </w:numPr>
              <w:spacing w:line="240" w:lineRule="auto"/>
              <w:rPr>
                <w:rFonts w:ascii="Times New Roman" w:hAnsi="Times New Roman"/>
                <w:szCs w:val="24"/>
              </w:rPr>
            </w:pPr>
            <w:r>
              <w:rPr>
                <w:rFonts w:ascii="Times New Roman" w:hAnsi="Times New Roman"/>
                <w:szCs w:val="24"/>
              </w:rPr>
              <w:t>Interviews with staff and local community</w:t>
            </w:r>
          </w:p>
        </w:tc>
        <w:tc>
          <w:tcPr>
            <w:tcW w:w="1530" w:type="dxa"/>
          </w:tcPr>
          <w:p w14:paraId="4F5D96F5">
            <w:pPr>
              <w:spacing w:line="240" w:lineRule="auto"/>
              <w:rPr>
                <w:rFonts w:ascii="Times New Roman" w:hAnsi="Times New Roman"/>
                <w:szCs w:val="24"/>
              </w:rPr>
            </w:pPr>
            <w:r>
              <w:rPr>
                <w:rFonts w:ascii="Times New Roman" w:hAnsi="Times New Roman"/>
                <w:szCs w:val="24"/>
              </w:rPr>
              <w:t>Monthly</w:t>
            </w:r>
          </w:p>
        </w:tc>
        <w:tc>
          <w:tcPr>
            <w:tcW w:w="1980" w:type="dxa"/>
          </w:tcPr>
          <w:p w14:paraId="54751895">
            <w:pPr>
              <w:spacing w:line="240" w:lineRule="auto"/>
              <w:rPr>
                <w:rFonts w:ascii="Times New Roman" w:hAnsi="Times New Roman"/>
                <w:szCs w:val="24"/>
              </w:rPr>
            </w:pPr>
            <w:r>
              <w:rPr>
                <w:rFonts w:ascii="Times New Roman" w:hAnsi="Times New Roman"/>
                <w:szCs w:val="24"/>
              </w:rPr>
              <w:t>Environmental Supervisor</w:t>
            </w:r>
          </w:p>
        </w:tc>
        <w:tc>
          <w:tcPr>
            <w:tcW w:w="1980" w:type="dxa"/>
          </w:tcPr>
          <w:p w14:paraId="2B3CF554">
            <w:pPr>
              <w:spacing w:line="240" w:lineRule="auto"/>
              <w:rPr>
                <w:rFonts w:ascii="Times New Roman" w:hAnsi="Times New Roman"/>
                <w:szCs w:val="24"/>
              </w:rPr>
            </w:pPr>
            <w:r>
              <w:rPr>
                <w:rFonts w:ascii="Times New Roman" w:hAnsi="Times New Roman"/>
                <w:szCs w:val="24"/>
              </w:rPr>
              <w:t>Implement recommendations</w:t>
            </w:r>
          </w:p>
        </w:tc>
      </w:tr>
      <w:tr w14:paraId="18067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78D8002D">
            <w:pPr>
              <w:spacing w:line="240" w:lineRule="auto"/>
              <w:rPr>
                <w:rFonts w:ascii="Times New Roman" w:hAnsi="Times New Roman"/>
                <w:szCs w:val="24"/>
              </w:rPr>
            </w:pPr>
            <w:r>
              <w:rPr>
                <w:rFonts w:ascii="Times New Roman" w:hAnsi="Times New Roman"/>
                <w:szCs w:val="24"/>
              </w:rPr>
              <w:t xml:space="preserve">Construction &amp; Operation </w:t>
            </w:r>
          </w:p>
        </w:tc>
        <w:tc>
          <w:tcPr>
            <w:tcW w:w="1800" w:type="dxa"/>
          </w:tcPr>
          <w:p w14:paraId="118BB304">
            <w:pPr>
              <w:spacing w:line="240" w:lineRule="auto"/>
              <w:rPr>
                <w:rFonts w:ascii="Times New Roman" w:hAnsi="Times New Roman"/>
                <w:szCs w:val="24"/>
              </w:rPr>
            </w:pPr>
            <w:r>
              <w:rPr>
                <w:rFonts w:ascii="Times New Roman" w:hAnsi="Times New Roman"/>
                <w:szCs w:val="24"/>
              </w:rPr>
              <w:t>Solid &amp; Liquid waste</w:t>
            </w:r>
          </w:p>
        </w:tc>
        <w:tc>
          <w:tcPr>
            <w:tcW w:w="3330" w:type="dxa"/>
          </w:tcPr>
          <w:p w14:paraId="375F4CE3">
            <w:pPr>
              <w:pStyle w:val="32"/>
              <w:numPr>
                <w:ilvl w:val="0"/>
                <w:numId w:val="89"/>
              </w:numPr>
              <w:spacing w:line="240" w:lineRule="auto"/>
              <w:rPr>
                <w:rFonts w:ascii="Times New Roman" w:hAnsi="Times New Roman"/>
                <w:szCs w:val="24"/>
              </w:rPr>
            </w:pPr>
            <w:r>
              <w:rPr>
                <w:rFonts w:ascii="Times New Roman" w:hAnsi="Times New Roman"/>
                <w:szCs w:val="24"/>
              </w:rPr>
              <w:t>Scattered litter</w:t>
            </w:r>
          </w:p>
          <w:p w14:paraId="5E156F4A">
            <w:pPr>
              <w:pStyle w:val="32"/>
              <w:numPr>
                <w:ilvl w:val="0"/>
                <w:numId w:val="89"/>
              </w:numPr>
              <w:spacing w:line="240" w:lineRule="auto"/>
              <w:rPr>
                <w:rFonts w:ascii="Times New Roman" w:hAnsi="Times New Roman"/>
                <w:szCs w:val="24"/>
              </w:rPr>
            </w:pPr>
            <w:r>
              <w:rPr>
                <w:rFonts w:ascii="Times New Roman" w:hAnsi="Times New Roman"/>
                <w:szCs w:val="24"/>
              </w:rPr>
              <w:t>Flow of wastewater on the ground surface.</w:t>
            </w:r>
          </w:p>
          <w:p w14:paraId="775B4704">
            <w:pPr>
              <w:pStyle w:val="32"/>
              <w:numPr>
                <w:ilvl w:val="0"/>
                <w:numId w:val="89"/>
              </w:numPr>
              <w:spacing w:line="240" w:lineRule="auto"/>
              <w:rPr>
                <w:rFonts w:ascii="Times New Roman" w:hAnsi="Times New Roman"/>
                <w:szCs w:val="24"/>
              </w:rPr>
            </w:pPr>
            <w:r>
              <w:rPr>
                <w:rFonts w:ascii="Times New Roman" w:hAnsi="Times New Roman"/>
                <w:szCs w:val="24"/>
              </w:rPr>
              <w:t>Provision of sanitary facilities to the construction crews.</w:t>
            </w:r>
          </w:p>
          <w:p w14:paraId="03C05C31">
            <w:pPr>
              <w:pStyle w:val="32"/>
              <w:numPr>
                <w:ilvl w:val="0"/>
                <w:numId w:val="89"/>
              </w:numPr>
              <w:spacing w:line="240" w:lineRule="auto"/>
              <w:rPr>
                <w:rFonts w:ascii="Times New Roman" w:hAnsi="Times New Roman"/>
                <w:szCs w:val="24"/>
              </w:rPr>
            </w:pPr>
            <w:r>
              <w:rPr>
                <w:rFonts w:ascii="Times New Roman" w:hAnsi="Times New Roman"/>
                <w:szCs w:val="24"/>
              </w:rPr>
              <w:t>Pollution of the underground water sources</w:t>
            </w:r>
          </w:p>
        </w:tc>
        <w:tc>
          <w:tcPr>
            <w:tcW w:w="2430" w:type="dxa"/>
          </w:tcPr>
          <w:p w14:paraId="059D8178">
            <w:pPr>
              <w:pStyle w:val="32"/>
              <w:numPr>
                <w:ilvl w:val="0"/>
                <w:numId w:val="89"/>
              </w:numPr>
              <w:spacing w:line="240" w:lineRule="auto"/>
              <w:rPr>
                <w:rFonts w:ascii="Times New Roman" w:hAnsi="Times New Roman"/>
                <w:szCs w:val="24"/>
              </w:rPr>
            </w:pPr>
            <w:r>
              <w:rPr>
                <w:rFonts w:ascii="Times New Roman" w:hAnsi="Times New Roman"/>
                <w:szCs w:val="24"/>
              </w:rPr>
              <w:t>Physical inspection</w:t>
            </w:r>
          </w:p>
          <w:p w14:paraId="067C9EE1">
            <w:pPr>
              <w:pStyle w:val="32"/>
              <w:numPr>
                <w:ilvl w:val="0"/>
                <w:numId w:val="89"/>
              </w:numPr>
              <w:spacing w:line="240" w:lineRule="auto"/>
              <w:rPr>
                <w:rFonts w:ascii="Times New Roman" w:hAnsi="Times New Roman"/>
                <w:szCs w:val="24"/>
              </w:rPr>
            </w:pPr>
            <w:r>
              <w:rPr>
                <w:rFonts w:ascii="Times New Roman" w:hAnsi="Times New Roman"/>
                <w:szCs w:val="24"/>
              </w:rPr>
              <w:t>Number of complaints.</w:t>
            </w:r>
          </w:p>
        </w:tc>
        <w:tc>
          <w:tcPr>
            <w:tcW w:w="1530" w:type="dxa"/>
          </w:tcPr>
          <w:p w14:paraId="75E7DFBF">
            <w:pPr>
              <w:spacing w:line="240" w:lineRule="auto"/>
              <w:rPr>
                <w:rFonts w:ascii="Times New Roman" w:hAnsi="Times New Roman"/>
                <w:szCs w:val="24"/>
              </w:rPr>
            </w:pPr>
            <w:r>
              <w:rPr>
                <w:rFonts w:ascii="Times New Roman" w:hAnsi="Times New Roman"/>
                <w:szCs w:val="24"/>
              </w:rPr>
              <w:t>Monthly</w:t>
            </w:r>
          </w:p>
        </w:tc>
        <w:tc>
          <w:tcPr>
            <w:tcW w:w="1980" w:type="dxa"/>
          </w:tcPr>
          <w:p w14:paraId="5B7FA390">
            <w:pPr>
              <w:spacing w:line="240" w:lineRule="auto"/>
              <w:rPr>
                <w:rFonts w:ascii="Times New Roman" w:hAnsi="Times New Roman"/>
                <w:szCs w:val="24"/>
              </w:rPr>
            </w:pPr>
            <w:r>
              <w:rPr>
                <w:rFonts w:ascii="Times New Roman" w:hAnsi="Times New Roman"/>
                <w:szCs w:val="24"/>
              </w:rPr>
              <w:t>Environmental Supervisor</w:t>
            </w:r>
          </w:p>
          <w:p w14:paraId="4AB2AAD9">
            <w:pPr>
              <w:spacing w:line="240" w:lineRule="auto"/>
              <w:rPr>
                <w:rFonts w:ascii="Times New Roman" w:hAnsi="Times New Roman"/>
                <w:szCs w:val="24"/>
              </w:rPr>
            </w:pPr>
            <w:r>
              <w:rPr>
                <w:rFonts w:ascii="Times New Roman" w:hAnsi="Times New Roman"/>
                <w:szCs w:val="24"/>
              </w:rPr>
              <w:t>Contractor</w:t>
            </w:r>
          </w:p>
        </w:tc>
        <w:tc>
          <w:tcPr>
            <w:tcW w:w="1980" w:type="dxa"/>
          </w:tcPr>
          <w:p w14:paraId="43511103">
            <w:pPr>
              <w:spacing w:line="240" w:lineRule="auto"/>
              <w:rPr>
                <w:rFonts w:ascii="Times New Roman" w:hAnsi="Times New Roman"/>
                <w:szCs w:val="24"/>
              </w:rPr>
            </w:pPr>
            <w:r>
              <w:rPr>
                <w:rFonts w:ascii="Times New Roman" w:hAnsi="Times New Roman"/>
                <w:szCs w:val="24"/>
              </w:rPr>
              <w:t>Implement recommendations</w:t>
            </w:r>
          </w:p>
        </w:tc>
      </w:tr>
      <w:tr w14:paraId="51FE0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4A7DBCC6">
            <w:pPr>
              <w:spacing w:line="240" w:lineRule="auto"/>
              <w:rPr>
                <w:rFonts w:ascii="Times New Roman" w:hAnsi="Times New Roman"/>
                <w:szCs w:val="24"/>
              </w:rPr>
            </w:pPr>
            <w:r>
              <w:rPr>
                <w:rFonts w:ascii="Times New Roman" w:hAnsi="Times New Roman"/>
                <w:szCs w:val="24"/>
              </w:rPr>
              <w:t xml:space="preserve">Operation </w:t>
            </w:r>
          </w:p>
        </w:tc>
        <w:tc>
          <w:tcPr>
            <w:tcW w:w="1800" w:type="dxa"/>
          </w:tcPr>
          <w:p w14:paraId="54BFC495">
            <w:pPr>
              <w:spacing w:line="240" w:lineRule="auto"/>
              <w:rPr>
                <w:rFonts w:ascii="Times New Roman" w:hAnsi="Times New Roman"/>
                <w:szCs w:val="24"/>
              </w:rPr>
            </w:pPr>
            <w:r>
              <w:rPr>
                <w:rFonts w:ascii="Times New Roman" w:hAnsi="Times New Roman"/>
                <w:szCs w:val="24"/>
              </w:rPr>
              <w:t xml:space="preserve">Air Quality </w:t>
            </w:r>
          </w:p>
        </w:tc>
        <w:tc>
          <w:tcPr>
            <w:tcW w:w="3330" w:type="dxa"/>
          </w:tcPr>
          <w:p w14:paraId="5BE55B00">
            <w:pPr>
              <w:pStyle w:val="32"/>
              <w:numPr>
                <w:ilvl w:val="0"/>
                <w:numId w:val="89"/>
              </w:numPr>
              <w:spacing w:line="240" w:lineRule="auto"/>
              <w:rPr>
                <w:rFonts w:ascii="Times New Roman" w:hAnsi="Times New Roman"/>
                <w:szCs w:val="24"/>
              </w:rPr>
            </w:pPr>
            <w:r>
              <w:rPr>
                <w:rFonts w:ascii="Times New Roman" w:hAnsi="Times New Roman"/>
                <w:szCs w:val="24"/>
              </w:rPr>
              <w:t>Status of housekeeping at the ablution block</w:t>
            </w:r>
          </w:p>
          <w:p w14:paraId="08E0E4CC">
            <w:pPr>
              <w:pStyle w:val="32"/>
              <w:numPr>
                <w:ilvl w:val="0"/>
                <w:numId w:val="89"/>
              </w:numPr>
              <w:spacing w:line="240" w:lineRule="auto"/>
              <w:rPr>
                <w:rFonts w:ascii="Times New Roman" w:hAnsi="Times New Roman"/>
                <w:szCs w:val="24"/>
              </w:rPr>
            </w:pPr>
            <w:r>
              <w:rPr>
                <w:rFonts w:ascii="Times New Roman" w:hAnsi="Times New Roman"/>
                <w:szCs w:val="24"/>
              </w:rPr>
              <w:t>Availability of regular water supply</w:t>
            </w:r>
          </w:p>
          <w:p w14:paraId="36B618C3">
            <w:pPr>
              <w:pStyle w:val="32"/>
              <w:numPr>
                <w:ilvl w:val="0"/>
                <w:numId w:val="89"/>
              </w:numPr>
              <w:spacing w:line="240" w:lineRule="auto"/>
              <w:rPr>
                <w:rFonts w:ascii="Times New Roman" w:hAnsi="Times New Roman"/>
                <w:szCs w:val="24"/>
              </w:rPr>
            </w:pPr>
            <w:r>
              <w:rPr>
                <w:rFonts w:ascii="Times New Roman" w:hAnsi="Times New Roman"/>
                <w:szCs w:val="24"/>
              </w:rPr>
              <w:t>Level of odour generated and any associated complaints.</w:t>
            </w:r>
          </w:p>
        </w:tc>
        <w:tc>
          <w:tcPr>
            <w:tcW w:w="2430" w:type="dxa"/>
          </w:tcPr>
          <w:p w14:paraId="02E0C297">
            <w:pPr>
              <w:pStyle w:val="32"/>
              <w:numPr>
                <w:ilvl w:val="0"/>
                <w:numId w:val="89"/>
              </w:numPr>
              <w:spacing w:line="240" w:lineRule="auto"/>
              <w:rPr>
                <w:rFonts w:ascii="Times New Roman" w:hAnsi="Times New Roman"/>
                <w:szCs w:val="24"/>
              </w:rPr>
            </w:pPr>
            <w:r>
              <w:rPr>
                <w:rFonts w:ascii="Times New Roman" w:hAnsi="Times New Roman"/>
                <w:szCs w:val="24"/>
              </w:rPr>
              <w:t>Physical inspection</w:t>
            </w:r>
          </w:p>
          <w:p w14:paraId="0395D4DB">
            <w:pPr>
              <w:pStyle w:val="32"/>
              <w:numPr>
                <w:ilvl w:val="0"/>
                <w:numId w:val="89"/>
              </w:numPr>
              <w:spacing w:line="240" w:lineRule="auto"/>
              <w:rPr>
                <w:rFonts w:ascii="Times New Roman" w:hAnsi="Times New Roman"/>
                <w:szCs w:val="24"/>
              </w:rPr>
            </w:pPr>
            <w:r>
              <w:rPr>
                <w:rFonts w:ascii="Times New Roman" w:hAnsi="Times New Roman"/>
                <w:szCs w:val="24"/>
              </w:rPr>
              <w:t>Interview residents including workers</w:t>
            </w:r>
          </w:p>
          <w:p w14:paraId="2613794E">
            <w:pPr>
              <w:pStyle w:val="32"/>
              <w:numPr>
                <w:ilvl w:val="0"/>
                <w:numId w:val="89"/>
              </w:numPr>
              <w:spacing w:line="240" w:lineRule="auto"/>
              <w:rPr>
                <w:rFonts w:ascii="Times New Roman" w:hAnsi="Times New Roman"/>
                <w:szCs w:val="24"/>
              </w:rPr>
            </w:pPr>
            <w:r>
              <w:rPr>
                <w:rFonts w:ascii="Times New Roman" w:hAnsi="Times New Roman"/>
                <w:szCs w:val="24"/>
              </w:rPr>
              <w:t>Liaise with other stakeholders</w:t>
            </w:r>
          </w:p>
        </w:tc>
        <w:tc>
          <w:tcPr>
            <w:tcW w:w="1530" w:type="dxa"/>
          </w:tcPr>
          <w:p w14:paraId="54216218">
            <w:pPr>
              <w:spacing w:line="240" w:lineRule="auto"/>
              <w:rPr>
                <w:rFonts w:ascii="Times New Roman" w:hAnsi="Times New Roman"/>
                <w:szCs w:val="24"/>
              </w:rPr>
            </w:pPr>
            <w:r>
              <w:rPr>
                <w:rFonts w:ascii="Times New Roman" w:hAnsi="Times New Roman"/>
                <w:szCs w:val="24"/>
              </w:rPr>
              <w:t xml:space="preserve">Quarterly </w:t>
            </w:r>
          </w:p>
        </w:tc>
        <w:tc>
          <w:tcPr>
            <w:tcW w:w="1980" w:type="dxa"/>
          </w:tcPr>
          <w:p w14:paraId="1FBD093A">
            <w:pPr>
              <w:spacing w:line="240" w:lineRule="auto"/>
              <w:rPr>
                <w:rFonts w:ascii="Times New Roman" w:hAnsi="Times New Roman"/>
                <w:szCs w:val="24"/>
              </w:rPr>
            </w:pPr>
            <w:r>
              <w:rPr>
                <w:rFonts w:ascii="Times New Roman" w:hAnsi="Times New Roman"/>
                <w:szCs w:val="24"/>
              </w:rPr>
              <w:t>Environmental Supervisor</w:t>
            </w:r>
          </w:p>
        </w:tc>
        <w:tc>
          <w:tcPr>
            <w:tcW w:w="1980" w:type="dxa"/>
          </w:tcPr>
          <w:p w14:paraId="3217B16A">
            <w:pPr>
              <w:spacing w:line="240" w:lineRule="auto"/>
              <w:rPr>
                <w:rFonts w:ascii="Times New Roman" w:hAnsi="Times New Roman"/>
                <w:szCs w:val="24"/>
              </w:rPr>
            </w:pPr>
            <w:r>
              <w:rPr>
                <w:rFonts w:ascii="Times New Roman" w:hAnsi="Times New Roman"/>
                <w:szCs w:val="24"/>
              </w:rPr>
              <w:t>Implement recommendations</w:t>
            </w:r>
          </w:p>
        </w:tc>
      </w:tr>
      <w:tr w14:paraId="1DDAA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13" w:type="dxa"/>
          </w:tcPr>
          <w:p w14:paraId="18EA7651">
            <w:pPr>
              <w:spacing w:line="240" w:lineRule="auto"/>
              <w:rPr>
                <w:rFonts w:ascii="Times New Roman" w:hAnsi="Times New Roman"/>
                <w:szCs w:val="24"/>
              </w:rPr>
            </w:pPr>
            <w:r>
              <w:rPr>
                <w:rFonts w:ascii="Times New Roman" w:hAnsi="Times New Roman"/>
                <w:szCs w:val="24"/>
              </w:rPr>
              <w:t>Operation</w:t>
            </w:r>
          </w:p>
        </w:tc>
        <w:tc>
          <w:tcPr>
            <w:tcW w:w="1800" w:type="dxa"/>
          </w:tcPr>
          <w:p w14:paraId="75C9D09F">
            <w:pPr>
              <w:spacing w:line="240" w:lineRule="auto"/>
              <w:rPr>
                <w:rFonts w:ascii="Times New Roman" w:hAnsi="Times New Roman"/>
                <w:szCs w:val="24"/>
              </w:rPr>
            </w:pPr>
            <w:r>
              <w:rPr>
                <w:rFonts w:ascii="Times New Roman" w:hAnsi="Times New Roman"/>
                <w:szCs w:val="24"/>
              </w:rPr>
              <w:t>Safety risks for operation workers</w:t>
            </w:r>
          </w:p>
        </w:tc>
        <w:tc>
          <w:tcPr>
            <w:tcW w:w="3330" w:type="dxa"/>
          </w:tcPr>
          <w:p w14:paraId="5A5563BD">
            <w:pPr>
              <w:pStyle w:val="32"/>
              <w:numPr>
                <w:ilvl w:val="0"/>
                <w:numId w:val="89"/>
              </w:numPr>
              <w:spacing w:line="240" w:lineRule="auto"/>
              <w:rPr>
                <w:rFonts w:ascii="Times New Roman" w:hAnsi="Times New Roman"/>
                <w:szCs w:val="24"/>
              </w:rPr>
            </w:pPr>
            <w:r>
              <w:rPr>
                <w:rFonts w:ascii="Times New Roman" w:hAnsi="Times New Roman"/>
                <w:szCs w:val="24"/>
              </w:rPr>
              <w:t>health and safety incidents on the sites</w:t>
            </w:r>
          </w:p>
          <w:p w14:paraId="18E02CCB">
            <w:pPr>
              <w:pStyle w:val="32"/>
              <w:numPr>
                <w:ilvl w:val="0"/>
                <w:numId w:val="89"/>
              </w:numPr>
              <w:spacing w:line="240" w:lineRule="auto"/>
              <w:rPr>
                <w:rFonts w:ascii="Times New Roman" w:hAnsi="Times New Roman"/>
                <w:szCs w:val="24"/>
              </w:rPr>
            </w:pPr>
            <w:r>
              <w:rPr>
                <w:rFonts w:ascii="Times New Roman" w:hAnsi="Times New Roman"/>
                <w:szCs w:val="24"/>
              </w:rPr>
              <w:t>Medical examination reports</w:t>
            </w:r>
          </w:p>
          <w:p w14:paraId="6B232722">
            <w:pPr>
              <w:pStyle w:val="32"/>
              <w:numPr>
                <w:ilvl w:val="0"/>
                <w:numId w:val="89"/>
              </w:numPr>
              <w:spacing w:line="240" w:lineRule="auto"/>
              <w:rPr>
                <w:rFonts w:ascii="Times New Roman" w:hAnsi="Times New Roman"/>
                <w:szCs w:val="24"/>
              </w:rPr>
            </w:pPr>
            <w:r>
              <w:rPr>
                <w:rFonts w:ascii="Times New Roman" w:hAnsi="Times New Roman"/>
                <w:szCs w:val="24"/>
              </w:rPr>
              <w:t xml:space="preserve">Staff induction and training records </w:t>
            </w:r>
          </w:p>
        </w:tc>
        <w:tc>
          <w:tcPr>
            <w:tcW w:w="2430" w:type="dxa"/>
          </w:tcPr>
          <w:p w14:paraId="3EA136D1">
            <w:pPr>
              <w:pStyle w:val="32"/>
              <w:numPr>
                <w:ilvl w:val="0"/>
                <w:numId w:val="89"/>
              </w:numPr>
              <w:spacing w:line="240" w:lineRule="auto"/>
              <w:rPr>
                <w:rFonts w:ascii="Times New Roman" w:hAnsi="Times New Roman"/>
                <w:szCs w:val="24"/>
              </w:rPr>
            </w:pPr>
            <w:r>
              <w:rPr>
                <w:rFonts w:ascii="Times New Roman" w:hAnsi="Times New Roman"/>
                <w:szCs w:val="24"/>
              </w:rPr>
              <w:t xml:space="preserve">Standard operation and maintenance procedures </w:t>
            </w:r>
          </w:p>
          <w:p w14:paraId="49C0C651">
            <w:pPr>
              <w:pStyle w:val="32"/>
              <w:numPr>
                <w:ilvl w:val="0"/>
                <w:numId w:val="89"/>
              </w:numPr>
              <w:spacing w:line="240" w:lineRule="auto"/>
              <w:rPr>
                <w:rFonts w:ascii="Times New Roman" w:hAnsi="Times New Roman"/>
                <w:szCs w:val="24"/>
              </w:rPr>
            </w:pPr>
            <w:r>
              <w:rPr>
                <w:rFonts w:ascii="Times New Roman" w:hAnsi="Times New Roman"/>
                <w:szCs w:val="24"/>
              </w:rPr>
              <w:t>Reports on injury to workers on the site</w:t>
            </w:r>
          </w:p>
          <w:p w14:paraId="0384FBD4">
            <w:pPr>
              <w:pStyle w:val="32"/>
              <w:numPr>
                <w:ilvl w:val="0"/>
                <w:numId w:val="89"/>
              </w:numPr>
              <w:spacing w:line="240" w:lineRule="auto"/>
              <w:rPr>
                <w:rFonts w:ascii="Times New Roman" w:hAnsi="Times New Roman"/>
                <w:szCs w:val="24"/>
              </w:rPr>
            </w:pPr>
            <w:r>
              <w:rPr>
                <w:rFonts w:ascii="Times New Roman" w:hAnsi="Times New Roman"/>
                <w:szCs w:val="24"/>
              </w:rPr>
              <w:t xml:space="preserve">Medical examination records </w:t>
            </w:r>
          </w:p>
        </w:tc>
        <w:tc>
          <w:tcPr>
            <w:tcW w:w="1530" w:type="dxa"/>
          </w:tcPr>
          <w:p w14:paraId="1FBDA4CC">
            <w:pPr>
              <w:spacing w:line="240" w:lineRule="auto"/>
              <w:rPr>
                <w:rFonts w:ascii="Times New Roman" w:hAnsi="Times New Roman"/>
                <w:szCs w:val="24"/>
              </w:rPr>
            </w:pPr>
            <w:r>
              <w:rPr>
                <w:rFonts w:ascii="Times New Roman" w:hAnsi="Times New Roman"/>
                <w:szCs w:val="24"/>
              </w:rPr>
              <w:t>Quarterly</w:t>
            </w:r>
          </w:p>
        </w:tc>
        <w:tc>
          <w:tcPr>
            <w:tcW w:w="1980" w:type="dxa"/>
          </w:tcPr>
          <w:p w14:paraId="4967E31A">
            <w:pPr>
              <w:spacing w:line="240" w:lineRule="auto"/>
              <w:rPr>
                <w:rFonts w:ascii="Times New Roman" w:hAnsi="Times New Roman"/>
                <w:szCs w:val="24"/>
              </w:rPr>
            </w:pPr>
            <w:r>
              <w:rPr>
                <w:rFonts w:ascii="Times New Roman" w:hAnsi="Times New Roman"/>
                <w:szCs w:val="24"/>
              </w:rPr>
              <w:t>Environmental Supervisor</w:t>
            </w:r>
          </w:p>
        </w:tc>
        <w:tc>
          <w:tcPr>
            <w:tcW w:w="1980" w:type="dxa"/>
          </w:tcPr>
          <w:p w14:paraId="318030BE">
            <w:pPr>
              <w:spacing w:line="240" w:lineRule="auto"/>
              <w:rPr>
                <w:rFonts w:ascii="Times New Roman" w:hAnsi="Times New Roman"/>
                <w:szCs w:val="24"/>
              </w:rPr>
            </w:pPr>
            <w:r>
              <w:rPr>
                <w:rFonts w:ascii="Times New Roman" w:hAnsi="Times New Roman"/>
                <w:szCs w:val="24"/>
              </w:rPr>
              <w:t>Implement recommendations</w:t>
            </w:r>
          </w:p>
        </w:tc>
      </w:tr>
    </w:tbl>
    <w:p w14:paraId="68AF7547">
      <w:pPr>
        <w:spacing w:line="240" w:lineRule="auto"/>
        <w:rPr>
          <w:rFonts w:ascii="Times New Roman" w:hAnsi="Times New Roman"/>
          <w:szCs w:val="24"/>
        </w:rPr>
      </w:pPr>
    </w:p>
    <w:p w14:paraId="2E332406">
      <w:pPr>
        <w:spacing w:line="240" w:lineRule="auto"/>
        <w:rPr>
          <w:rFonts w:ascii="Times New Roman" w:hAnsi="Times New Roman"/>
          <w:szCs w:val="24"/>
        </w:rPr>
        <w:sectPr>
          <w:pgSz w:w="16838" w:h="11906" w:orient="landscape"/>
          <w:pgMar w:top="1440" w:right="1440" w:bottom="1440" w:left="1440" w:header="720" w:footer="720" w:gutter="0"/>
          <w:cols w:space="720" w:num="1"/>
          <w:docGrid w:linePitch="360" w:charSpace="0"/>
        </w:sectPr>
      </w:pPr>
    </w:p>
    <w:p w14:paraId="7AF9BDFD">
      <w:pPr>
        <w:pStyle w:val="3"/>
        <w:spacing w:line="240" w:lineRule="auto"/>
        <w:rPr>
          <w:rFonts w:ascii="Times New Roman" w:hAnsi="Times New Roman" w:cs="Times New Roman"/>
          <w:sz w:val="24"/>
          <w:szCs w:val="24"/>
        </w:rPr>
      </w:pPr>
      <w:bookmarkStart w:id="690" w:name="_Toc13176"/>
      <w:bookmarkStart w:id="691" w:name="_Toc220710869"/>
      <w:bookmarkStart w:id="692" w:name="_Toc16342"/>
      <w:bookmarkStart w:id="693" w:name="_Toc9372"/>
      <w:bookmarkStart w:id="694" w:name="_Ref11305398"/>
      <w:r>
        <w:rPr>
          <w:rFonts w:ascii="Times New Roman" w:hAnsi="Times New Roman" w:cs="Times New Roman"/>
          <w:sz w:val="24"/>
          <w:szCs w:val="24"/>
        </w:rPr>
        <w:t>8.9</w:t>
      </w:r>
      <w:r>
        <w:rPr>
          <w:rFonts w:ascii="Times New Roman" w:hAnsi="Times New Roman" w:cs="Times New Roman"/>
          <w:sz w:val="24"/>
          <w:szCs w:val="24"/>
        </w:rPr>
        <w:tab/>
      </w:r>
      <w:r>
        <w:rPr>
          <w:rFonts w:ascii="Times New Roman" w:hAnsi="Times New Roman" w:cs="Times New Roman"/>
          <w:sz w:val="24"/>
          <w:szCs w:val="24"/>
        </w:rPr>
        <w:t>Grievance Redress Mechanism</w:t>
      </w:r>
      <w:bookmarkEnd w:id="690"/>
      <w:bookmarkEnd w:id="691"/>
      <w:bookmarkEnd w:id="692"/>
      <w:bookmarkEnd w:id="693"/>
      <w:bookmarkEnd w:id="694"/>
    </w:p>
    <w:p w14:paraId="59FA7B82">
      <w:pPr>
        <w:spacing w:line="240" w:lineRule="auto"/>
        <w:jc w:val="both"/>
        <w:rPr>
          <w:rFonts w:ascii="Times New Roman" w:hAnsi="Times New Roman"/>
          <w:szCs w:val="24"/>
        </w:rPr>
      </w:pPr>
      <w:r>
        <w:rPr>
          <w:rFonts w:ascii="Times New Roman" w:hAnsi="Times New Roman"/>
          <w:szCs w:val="24"/>
        </w:rPr>
        <w:t xml:space="preserve">  It is imperative to have a workable grievance redress mechanism to take care of any disputes arising from the construction works so that they do not have an adverse effect on the project. </w:t>
      </w:r>
    </w:p>
    <w:p w14:paraId="796119F1">
      <w:pPr>
        <w:spacing w:after="200" w:line="240" w:lineRule="auto"/>
        <w:jc w:val="both"/>
        <w:rPr>
          <w:rFonts w:ascii="Times New Roman" w:hAnsi="Times New Roman"/>
          <w:szCs w:val="24"/>
        </w:rPr>
      </w:pPr>
      <w:r>
        <w:rPr>
          <w:rFonts w:ascii="Times New Roman" w:hAnsi="Times New Roman"/>
          <w:szCs w:val="24"/>
        </w:rPr>
        <w:t>A grievance redress mechanism (GRM) is presented below to ensure the project’s social and environmental safeguards are adhered to. The purpose of the GRM is to record and address any complaints that may arise during the implementation phase of the project. The GRM is designed to address concerns and complaints promptly and transparently with no impacts (cost, discrimination) on project affected persons. The GRM works within existing legal and cultural frameworks, providing an additional opportunity to resolve grievances at the local, project level.</w:t>
      </w:r>
    </w:p>
    <w:p w14:paraId="1D2D2C16">
      <w:pPr>
        <w:spacing w:after="200" w:line="240" w:lineRule="auto"/>
        <w:jc w:val="both"/>
        <w:rPr>
          <w:rFonts w:ascii="Times New Roman" w:hAnsi="Times New Roman"/>
          <w:szCs w:val="24"/>
        </w:rPr>
      </w:pPr>
      <w:r>
        <w:rPr>
          <w:rFonts w:ascii="Times New Roman" w:hAnsi="Times New Roman"/>
          <w:szCs w:val="24"/>
        </w:rPr>
        <w:t>The key objectives of the grievance redress mechanism are:</w:t>
      </w:r>
    </w:p>
    <w:p w14:paraId="69011371">
      <w:pPr>
        <w:numPr>
          <w:ilvl w:val="0"/>
          <w:numId w:val="91"/>
        </w:numPr>
        <w:spacing w:after="200" w:line="240" w:lineRule="auto"/>
        <w:contextualSpacing/>
        <w:jc w:val="both"/>
        <w:rPr>
          <w:rFonts w:ascii="Times New Roman" w:hAnsi="Times New Roman"/>
          <w:szCs w:val="24"/>
        </w:rPr>
      </w:pPr>
      <w:r>
        <w:rPr>
          <w:rFonts w:ascii="Times New Roman" w:hAnsi="Times New Roman"/>
          <w:szCs w:val="24"/>
        </w:rPr>
        <w:t>Record, categorize and prioritize the grievances;</w:t>
      </w:r>
    </w:p>
    <w:p w14:paraId="6953D2E1">
      <w:pPr>
        <w:numPr>
          <w:ilvl w:val="0"/>
          <w:numId w:val="91"/>
        </w:numPr>
        <w:spacing w:after="200" w:line="240" w:lineRule="auto"/>
        <w:contextualSpacing/>
        <w:jc w:val="both"/>
        <w:rPr>
          <w:rFonts w:ascii="Times New Roman" w:hAnsi="Times New Roman"/>
          <w:szCs w:val="24"/>
        </w:rPr>
      </w:pPr>
      <w:r>
        <w:rPr>
          <w:rFonts w:ascii="Times New Roman" w:hAnsi="Times New Roman"/>
          <w:szCs w:val="24"/>
        </w:rPr>
        <w:t>Settle the grievances via consultation with all stakeholders (and inform those stakeholders of the solutions)</w:t>
      </w:r>
    </w:p>
    <w:p w14:paraId="4FCDF31B">
      <w:pPr>
        <w:numPr>
          <w:ilvl w:val="0"/>
          <w:numId w:val="91"/>
        </w:numPr>
        <w:spacing w:after="200" w:line="240" w:lineRule="auto"/>
        <w:contextualSpacing/>
        <w:jc w:val="both"/>
        <w:rPr>
          <w:rFonts w:ascii="Times New Roman" w:hAnsi="Times New Roman"/>
          <w:szCs w:val="24"/>
        </w:rPr>
      </w:pPr>
      <w:r>
        <w:rPr>
          <w:rFonts w:ascii="Times New Roman" w:hAnsi="Times New Roman"/>
          <w:szCs w:val="24"/>
        </w:rPr>
        <w:t>Forward any unresolved cases to the relevant authority.</w:t>
      </w:r>
    </w:p>
    <w:p w14:paraId="2AF425D5">
      <w:pPr>
        <w:spacing w:before="240" w:line="240" w:lineRule="auto"/>
        <w:jc w:val="both"/>
        <w:rPr>
          <w:rFonts w:ascii="Times New Roman" w:hAnsi="Times New Roman"/>
          <w:szCs w:val="24"/>
        </w:rPr>
      </w:pPr>
      <w:r>
        <w:rPr>
          <w:rFonts w:ascii="Times New Roman" w:hAnsi="Times New Roman"/>
          <w:szCs w:val="24"/>
        </w:rPr>
        <w:t>This procedure will not replace the existing legal system for dealing with grievances, however these and interested parties will be persuaded to use the proposed mechanism, and make use of the legal redress as a last resort at their own cost. For ease of handling the Grievances Redress Mechanism, the RAP has been combined with the ESIA mechanisms.</w:t>
      </w:r>
    </w:p>
    <w:p w14:paraId="735C19BE">
      <w:pPr>
        <w:pStyle w:val="4"/>
        <w:numPr>
          <w:ilvl w:val="2"/>
          <w:numId w:val="39"/>
        </w:numPr>
        <w:shd w:val="clear" w:color="auto" w:fill="auto"/>
        <w:spacing w:line="240" w:lineRule="auto"/>
        <w:rPr>
          <w:rFonts w:ascii="Times New Roman" w:hAnsi="Times New Roman" w:eastAsia="MS Gothic"/>
        </w:rPr>
      </w:pPr>
      <w:bookmarkStart w:id="695" w:name="_Toc13334"/>
      <w:bookmarkStart w:id="696" w:name="_Toc16678"/>
      <w:bookmarkStart w:id="697" w:name="_Toc24241"/>
      <w:bookmarkStart w:id="698" w:name="_Toc220710870"/>
      <w:bookmarkStart w:id="699" w:name="_Toc526624211"/>
      <w:r>
        <w:rPr>
          <w:rFonts w:ascii="Times New Roman" w:hAnsi="Times New Roman" w:eastAsia="MS Gothic"/>
        </w:rPr>
        <w:t>Possible Sources of Grievances</w:t>
      </w:r>
      <w:bookmarkEnd w:id="695"/>
      <w:bookmarkEnd w:id="696"/>
      <w:bookmarkEnd w:id="697"/>
      <w:bookmarkEnd w:id="698"/>
      <w:bookmarkEnd w:id="699"/>
    </w:p>
    <w:p w14:paraId="2F548529">
      <w:pPr>
        <w:spacing w:after="200" w:line="240" w:lineRule="auto"/>
        <w:jc w:val="both"/>
        <w:rPr>
          <w:rFonts w:ascii="Times New Roman" w:hAnsi="Times New Roman"/>
          <w:szCs w:val="24"/>
        </w:rPr>
      </w:pPr>
      <w:r>
        <w:rPr>
          <w:rFonts w:ascii="Times New Roman" w:hAnsi="Times New Roman"/>
          <w:szCs w:val="24"/>
        </w:rPr>
        <w:t>Local communities and stakeholders may always raise a grievance to the KIMAWASCO or County representatives on site and to the area chiefs. The complainants should be informed about this possibility and contact information of the respective organizations at relevant levels should be made available. Many of the factors that may give rise to conflict between complainants and proposed project investments can be a source of conflict with non-complainants as well. These include:</w:t>
      </w:r>
    </w:p>
    <w:p w14:paraId="5885488A">
      <w:pPr>
        <w:numPr>
          <w:ilvl w:val="0"/>
          <w:numId w:val="92"/>
        </w:numPr>
        <w:spacing w:after="200" w:line="240" w:lineRule="auto"/>
        <w:contextualSpacing/>
        <w:jc w:val="both"/>
        <w:rPr>
          <w:rFonts w:ascii="Times New Roman" w:hAnsi="Times New Roman"/>
          <w:szCs w:val="24"/>
        </w:rPr>
      </w:pPr>
      <w:r>
        <w:rPr>
          <w:rFonts w:ascii="Times New Roman" w:hAnsi="Times New Roman"/>
          <w:iCs/>
          <w:szCs w:val="24"/>
        </w:rPr>
        <w:t xml:space="preserve">Inadequate engagement or decision-making processes </w:t>
      </w:r>
    </w:p>
    <w:p w14:paraId="0C3CBD63">
      <w:pPr>
        <w:numPr>
          <w:ilvl w:val="0"/>
          <w:numId w:val="92"/>
        </w:numPr>
        <w:spacing w:after="200" w:line="240" w:lineRule="auto"/>
        <w:contextualSpacing/>
        <w:jc w:val="both"/>
        <w:rPr>
          <w:rFonts w:ascii="Times New Roman" w:hAnsi="Times New Roman"/>
          <w:szCs w:val="24"/>
        </w:rPr>
      </w:pPr>
      <w:r>
        <w:rPr>
          <w:rFonts w:ascii="Times New Roman" w:hAnsi="Times New Roman"/>
          <w:iCs/>
          <w:szCs w:val="24"/>
        </w:rPr>
        <w:t xml:space="preserve">Inequitable distribution of benefits </w:t>
      </w:r>
    </w:p>
    <w:p w14:paraId="113A3DFC">
      <w:pPr>
        <w:numPr>
          <w:ilvl w:val="0"/>
          <w:numId w:val="92"/>
        </w:numPr>
        <w:spacing w:after="200" w:line="240" w:lineRule="auto"/>
        <w:contextualSpacing/>
        <w:jc w:val="both"/>
        <w:rPr>
          <w:rFonts w:ascii="Times New Roman" w:hAnsi="Times New Roman"/>
          <w:szCs w:val="24"/>
        </w:rPr>
      </w:pPr>
      <w:r>
        <w:rPr>
          <w:rFonts w:ascii="Times New Roman" w:hAnsi="Times New Roman"/>
          <w:iCs/>
          <w:szCs w:val="24"/>
        </w:rPr>
        <w:t xml:space="preserve">Broken promises and unmet expectations of benefits </w:t>
      </w:r>
    </w:p>
    <w:p w14:paraId="026896CF">
      <w:pPr>
        <w:numPr>
          <w:ilvl w:val="0"/>
          <w:numId w:val="92"/>
        </w:numPr>
        <w:spacing w:after="200" w:line="240" w:lineRule="auto"/>
        <w:contextualSpacing/>
        <w:jc w:val="both"/>
        <w:rPr>
          <w:rFonts w:ascii="Times New Roman" w:hAnsi="Times New Roman"/>
          <w:szCs w:val="24"/>
        </w:rPr>
      </w:pPr>
      <w:r>
        <w:rPr>
          <w:rFonts w:ascii="Times New Roman" w:hAnsi="Times New Roman"/>
          <w:iCs/>
          <w:szCs w:val="24"/>
        </w:rPr>
        <w:t xml:space="preserve">Failing to generate opportunities for employment, training, supply or community development </w:t>
      </w:r>
    </w:p>
    <w:p w14:paraId="016E47C3">
      <w:pPr>
        <w:numPr>
          <w:ilvl w:val="0"/>
          <w:numId w:val="92"/>
        </w:numPr>
        <w:spacing w:after="200" w:line="240" w:lineRule="auto"/>
        <w:contextualSpacing/>
        <w:jc w:val="both"/>
        <w:rPr>
          <w:rFonts w:ascii="Times New Roman" w:hAnsi="Times New Roman"/>
          <w:szCs w:val="24"/>
        </w:rPr>
      </w:pPr>
      <w:r>
        <w:rPr>
          <w:rFonts w:ascii="Times New Roman" w:hAnsi="Times New Roman"/>
          <w:iCs/>
          <w:szCs w:val="24"/>
        </w:rPr>
        <w:t xml:space="preserve">Environmental degradation </w:t>
      </w:r>
    </w:p>
    <w:p w14:paraId="7EC3BF08">
      <w:pPr>
        <w:numPr>
          <w:ilvl w:val="0"/>
          <w:numId w:val="92"/>
        </w:numPr>
        <w:spacing w:after="200" w:line="240" w:lineRule="auto"/>
        <w:contextualSpacing/>
        <w:jc w:val="both"/>
        <w:rPr>
          <w:rFonts w:ascii="Times New Roman" w:hAnsi="Times New Roman"/>
          <w:szCs w:val="24"/>
        </w:rPr>
      </w:pPr>
      <w:r>
        <w:rPr>
          <w:rFonts w:ascii="Times New Roman" w:hAnsi="Times New Roman"/>
          <w:iCs/>
          <w:szCs w:val="24"/>
        </w:rPr>
        <w:t xml:space="preserve">Violation of human rights </w:t>
      </w:r>
    </w:p>
    <w:p w14:paraId="368499C6">
      <w:pPr>
        <w:spacing w:after="200" w:line="240" w:lineRule="auto"/>
        <w:jc w:val="both"/>
        <w:rPr>
          <w:rFonts w:ascii="Times New Roman" w:hAnsi="Times New Roman"/>
          <w:szCs w:val="24"/>
        </w:rPr>
      </w:pPr>
      <w:r>
        <w:rPr>
          <w:rFonts w:ascii="Times New Roman" w:hAnsi="Times New Roman"/>
          <w:szCs w:val="24"/>
        </w:rPr>
        <w:t>In addition, however, there are some contextual factors that have salience for vulnerable and marginalized people and their relations with project investments. For example, a lack of respect (perceived or actual for indigenous customary rights or culture, history and spirituality), is likely to trigger a strong reaction. Similarly, issues around access to and control of land and the recognition of sovereignty are very important for many indigenous people and can lead to serious conflict if they are not handled sensitively and with due respect for the rights of affected groups.</w:t>
      </w:r>
    </w:p>
    <w:p w14:paraId="180C221D">
      <w:pPr>
        <w:spacing w:line="240" w:lineRule="auto"/>
        <w:rPr>
          <w:rFonts w:ascii="Times New Roman" w:hAnsi="Times New Roman"/>
          <w:szCs w:val="24"/>
        </w:rPr>
      </w:pPr>
      <w:r>
        <w:rPr>
          <w:rFonts w:ascii="Times New Roman" w:hAnsi="Times New Roman"/>
          <w:szCs w:val="24"/>
        </w:rPr>
        <w:t>The Community Liaison Officer and the GRC will consult to determine the validity of claims. If valid, the Committee will notify the complainant that s/he will be assisted and a response will be given in the due time.</w:t>
      </w:r>
    </w:p>
    <w:p w14:paraId="24857C91">
      <w:pPr>
        <w:pStyle w:val="32"/>
        <w:numPr>
          <w:ilvl w:val="0"/>
          <w:numId w:val="93"/>
        </w:numPr>
        <w:spacing w:before="240" w:line="240" w:lineRule="auto"/>
        <w:jc w:val="both"/>
        <w:rPr>
          <w:rFonts w:ascii="Times New Roman" w:hAnsi="Times New Roman"/>
          <w:szCs w:val="24"/>
        </w:rPr>
      </w:pPr>
      <w:r>
        <w:rPr>
          <w:rFonts w:ascii="Times New Roman" w:hAnsi="Times New Roman"/>
          <w:szCs w:val="24"/>
        </w:rPr>
        <w:t>The GRC will meet and respond within 14 days during which time any meetings and discussions to be held with the aggrieved person will be conducted.</w:t>
      </w:r>
    </w:p>
    <w:p w14:paraId="30088BD6">
      <w:pPr>
        <w:pStyle w:val="32"/>
        <w:numPr>
          <w:ilvl w:val="0"/>
          <w:numId w:val="93"/>
        </w:numPr>
        <w:spacing w:before="240" w:line="240" w:lineRule="auto"/>
        <w:jc w:val="both"/>
        <w:rPr>
          <w:rFonts w:ascii="Times New Roman" w:hAnsi="Times New Roman"/>
          <w:szCs w:val="24"/>
        </w:rPr>
      </w:pPr>
      <w:r>
        <w:rPr>
          <w:rFonts w:ascii="Times New Roman" w:hAnsi="Times New Roman"/>
          <w:szCs w:val="24"/>
        </w:rPr>
        <w:t xml:space="preserve">If the complainant’s claim is rejected by the Committees, the Community Liaison Officer will assist the aggrieved person to take the matter to KIMAWASCO. All efforts will be made to try and reach some consensus with the complainant. </w:t>
      </w:r>
    </w:p>
    <w:p w14:paraId="52E95D51">
      <w:pPr>
        <w:pStyle w:val="32"/>
        <w:numPr>
          <w:ilvl w:val="0"/>
          <w:numId w:val="93"/>
        </w:numPr>
        <w:spacing w:before="240" w:line="240" w:lineRule="auto"/>
        <w:jc w:val="both"/>
        <w:rPr>
          <w:rFonts w:ascii="Times New Roman" w:hAnsi="Times New Roman"/>
          <w:szCs w:val="24"/>
        </w:rPr>
      </w:pPr>
      <w:r>
        <w:rPr>
          <w:rFonts w:ascii="Times New Roman" w:hAnsi="Times New Roman"/>
          <w:szCs w:val="24"/>
        </w:rPr>
        <w:t>If the aggrieved person does not receive a response or is not satisfied with the outcome by GRC and KIMAWASCO within the agreed time, s/he may lodge his/her grievance to the County NEMA Office, also mandated to help resolve such matters if the grievance of environmental violations). The aggrieved person may escalate their complaints to the upper levels of the Project Coordinating Unit if the grievance is different. If requested, or deemed necessary by the project Committee, the Community Liaison Officer will assist the aggrieved person in this matter.</w:t>
      </w:r>
    </w:p>
    <w:p w14:paraId="5DADDEB1">
      <w:pPr>
        <w:pStyle w:val="32"/>
        <w:numPr>
          <w:ilvl w:val="0"/>
          <w:numId w:val="93"/>
        </w:numPr>
        <w:spacing w:before="240" w:line="240" w:lineRule="auto"/>
        <w:jc w:val="both"/>
        <w:rPr>
          <w:rFonts w:ascii="Times New Roman" w:hAnsi="Times New Roman"/>
          <w:szCs w:val="24"/>
        </w:rPr>
      </w:pPr>
      <w:r>
        <w:rPr>
          <w:rFonts w:ascii="Times New Roman" w:hAnsi="Times New Roman"/>
          <w:szCs w:val="24"/>
        </w:rPr>
        <w:t>Where the matters cannot be resolved through local routes, the grievance will be referred to the NEMA tribunal. The GRC and KIMAWASCO will aid at all stages to the aggrieved person to facilitate resolution of their complaint and ensure that the matter is addressed in the optimal way possible.</w:t>
      </w:r>
    </w:p>
    <w:p w14:paraId="72450636">
      <w:pPr>
        <w:spacing w:before="240" w:line="240" w:lineRule="auto"/>
        <w:rPr>
          <w:rFonts w:ascii="Times New Roman" w:hAnsi="Times New Roman"/>
          <w:szCs w:val="24"/>
        </w:rPr>
      </w:pPr>
      <w:r>
        <w:rPr>
          <w:rFonts w:ascii="Times New Roman" w:hAnsi="Times New Roman"/>
          <w:szCs w:val="24"/>
        </w:rPr>
        <w:t>After the process, a grievance resolution form will be filled to document the resolution made. A sample of the form is provided below:</w:t>
      </w:r>
    </w:p>
    <w:p w14:paraId="5D0C449F">
      <w:pPr>
        <w:keepNext/>
        <w:spacing w:line="240" w:lineRule="auto"/>
        <w:rPr>
          <w:rFonts w:ascii="Times New Roman" w:hAnsi="Times New Roman"/>
          <w:szCs w:val="24"/>
        </w:rPr>
      </w:pPr>
      <w:r>
        <w:rPr>
          <w:rFonts w:ascii="Times New Roman" w:hAnsi="Times New Roman"/>
          <w:szCs w:val="24"/>
        </w:rPr>
        <w:drawing>
          <wp:inline distT="0" distB="0" distL="114300" distR="114300">
            <wp:extent cx="5172710" cy="5892800"/>
            <wp:effectExtent l="0" t="0" r="8890"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1"/>
                    <pic:cNvPicPr>
                      <a:picLocks noChangeAspect="1"/>
                    </pic:cNvPicPr>
                  </pic:nvPicPr>
                  <pic:blipFill>
                    <a:blip r:embed="rId56"/>
                    <a:stretch>
                      <a:fillRect/>
                    </a:stretch>
                  </pic:blipFill>
                  <pic:spPr>
                    <a:xfrm>
                      <a:off x="0" y="0"/>
                      <a:ext cx="5173200" cy="5893200"/>
                    </a:xfrm>
                    <a:prstGeom prst="rect">
                      <a:avLst/>
                    </a:prstGeom>
                    <a:noFill/>
                    <a:ln>
                      <a:noFill/>
                    </a:ln>
                  </pic:spPr>
                </pic:pic>
              </a:graphicData>
            </a:graphic>
          </wp:inline>
        </w:drawing>
      </w:r>
    </w:p>
    <w:p w14:paraId="3AB15D1B">
      <w:pPr>
        <w:pStyle w:val="10"/>
        <w:rPr>
          <w:rFonts w:ascii="Times New Roman" w:hAnsi="Times New Roman"/>
          <w:b/>
          <w:bCs/>
          <w:color w:val="auto"/>
        </w:rPr>
      </w:pPr>
      <w:r>
        <w:rPr>
          <w:rFonts w:ascii="Times New Roman" w:hAnsi="Times New Roman"/>
          <w:b/>
          <w:bCs/>
          <w:color w:val="auto"/>
        </w:rPr>
        <w:t xml:space="preserve">Figure </w:t>
      </w:r>
      <w:r>
        <w:rPr>
          <w:rFonts w:ascii="Times New Roman" w:hAnsi="Times New Roman"/>
          <w:b/>
          <w:bCs/>
          <w:color w:val="auto"/>
        </w:rPr>
        <w:fldChar w:fldCharType="begin"/>
      </w:r>
      <w:r>
        <w:rPr>
          <w:rFonts w:ascii="Times New Roman" w:hAnsi="Times New Roman"/>
          <w:b/>
          <w:bCs/>
          <w:color w:val="auto"/>
        </w:rPr>
        <w:instrText xml:space="preserve"> SEQ Figure \* ARABIC </w:instrText>
      </w:r>
      <w:r>
        <w:rPr>
          <w:rFonts w:ascii="Times New Roman" w:hAnsi="Times New Roman"/>
          <w:b/>
          <w:bCs/>
          <w:color w:val="auto"/>
        </w:rPr>
        <w:fldChar w:fldCharType="separate"/>
      </w:r>
      <w:r>
        <w:rPr>
          <w:rFonts w:ascii="Times New Roman" w:hAnsi="Times New Roman"/>
          <w:b/>
          <w:bCs/>
          <w:color w:val="auto"/>
        </w:rPr>
        <w:t>27</w:t>
      </w:r>
      <w:r>
        <w:rPr>
          <w:rFonts w:ascii="Times New Roman" w:hAnsi="Times New Roman"/>
          <w:b/>
          <w:bCs/>
          <w:color w:val="auto"/>
        </w:rPr>
        <w:fldChar w:fldCharType="end"/>
      </w:r>
      <w:bookmarkStart w:id="700" w:name="_Toc23393"/>
      <w:bookmarkStart w:id="701" w:name="_Toc23300"/>
      <w:r>
        <w:rPr>
          <w:rFonts w:ascii="Times New Roman" w:hAnsi="Times New Roman"/>
          <w:b/>
          <w:bCs/>
          <w:color w:val="auto"/>
        </w:rPr>
        <w:t>: Sample Grievance form</w:t>
      </w:r>
      <w:bookmarkEnd w:id="700"/>
      <w:bookmarkEnd w:id="701"/>
    </w:p>
    <w:p w14:paraId="414DAA60">
      <w:pPr>
        <w:spacing w:line="240" w:lineRule="auto"/>
        <w:rPr>
          <w:rFonts w:ascii="Times New Roman" w:hAnsi="Times New Roman"/>
          <w:szCs w:val="24"/>
        </w:rPr>
      </w:pPr>
    </w:p>
    <w:p w14:paraId="5B8E0F59">
      <w:pPr>
        <w:pStyle w:val="3"/>
        <w:spacing w:line="240" w:lineRule="auto"/>
        <w:ind w:left="0" w:firstLine="0"/>
        <w:rPr>
          <w:rFonts w:ascii="Times New Roman" w:hAnsi="Times New Roman" w:cs="Times New Roman"/>
          <w:sz w:val="24"/>
          <w:szCs w:val="24"/>
        </w:rPr>
      </w:pPr>
      <w:bookmarkStart w:id="702" w:name="_Toc29619"/>
      <w:bookmarkStart w:id="703" w:name="_Toc220710871"/>
      <w:bookmarkStart w:id="704" w:name="_Toc28584"/>
      <w:bookmarkStart w:id="705" w:name="_Toc526624214"/>
      <w:bookmarkStart w:id="706" w:name="_Toc30379"/>
      <w:r>
        <w:rPr>
          <w:rFonts w:ascii="Times New Roman" w:hAnsi="Times New Roman" w:cs="Times New Roman"/>
          <w:sz w:val="24"/>
          <w:szCs w:val="24"/>
        </w:rPr>
        <w:t>8.10</w:t>
      </w:r>
      <w:r>
        <w:rPr>
          <w:rFonts w:ascii="Times New Roman" w:hAnsi="Times New Roman" w:cs="Times New Roman"/>
          <w:sz w:val="24"/>
          <w:szCs w:val="24"/>
        </w:rPr>
        <w:tab/>
      </w:r>
      <w:r>
        <w:rPr>
          <w:rFonts w:ascii="Times New Roman" w:hAnsi="Times New Roman" w:cs="Times New Roman"/>
          <w:sz w:val="24"/>
          <w:szCs w:val="24"/>
        </w:rPr>
        <w:t>Institutional Framework for Implementation of the Project and the ESMP</w:t>
      </w:r>
      <w:bookmarkEnd w:id="702"/>
      <w:bookmarkEnd w:id="703"/>
      <w:bookmarkEnd w:id="704"/>
      <w:bookmarkEnd w:id="705"/>
      <w:bookmarkEnd w:id="706"/>
    </w:p>
    <w:p w14:paraId="73EFA770">
      <w:pPr>
        <w:spacing w:line="240" w:lineRule="auto"/>
        <w:jc w:val="both"/>
        <w:rPr>
          <w:rFonts w:ascii="Times New Roman" w:hAnsi="Times New Roman"/>
          <w:szCs w:val="24"/>
        </w:rPr>
      </w:pPr>
      <w:r>
        <w:rPr>
          <w:rFonts w:ascii="Times New Roman" w:hAnsi="Times New Roman"/>
          <w:szCs w:val="24"/>
        </w:rPr>
        <w:t>The organizational structure elaborates on the role of various stakeholders in administering the ESMP. It further clarifies the role of stakeholders and their responsibility in the exercise in relation to ESIA. The table below shows the various institutions and their role in the implementation of the ESMP.</w:t>
      </w:r>
    </w:p>
    <w:p w14:paraId="4BF77949">
      <w:pPr>
        <w:pStyle w:val="10"/>
        <w:rPr>
          <w:rFonts w:ascii="Times New Roman" w:hAnsi="Times New Roman"/>
          <w:b/>
          <w:bCs/>
          <w:color w:val="auto"/>
        </w:rPr>
      </w:pPr>
      <w:bookmarkStart w:id="707" w:name="_Toc224740305"/>
      <w:r>
        <w:rPr>
          <w:rFonts w:ascii="Times New Roman" w:hAnsi="Times New Roman"/>
          <w:b/>
          <w:bCs/>
          <w:color w:val="auto"/>
        </w:rPr>
        <w:t xml:space="preserve">Table </w:t>
      </w:r>
      <w:r>
        <w:rPr>
          <w:rFonts w:ascii="Times New Roman" w:hAnsi="Times New Roman"/>
          <w:b/>
          <w:bCs/>
          <w:color w:val="auto"/>
        </w:rPr>
        <w:fldChar w:fldCharType="begin"/>
      </w:r>
      <w:r>
        <w:rPr>
          <w:rFonts w:ascii="Times New Roman" w:hAnsi="Times New Roman"/>
          <w:b/>
          <w:bCs/>
          <w:color w:val="auto"/>
        </w:rPr>
        <w:instrText xml:space="preserve"> SEQ Table \* ARABIC </w:instrText>
      </w:r>
      <w:r>
        <w:rPr>
          <w:rFonts w:ascii="Times New Roman" w:hAnsi="Times New Roman"/>
          <w:b/>
          <w:bCs/>
          <w:color w:val="auto"/>
        </w:rPr>
        <w:fldChar w:fldCharType="separate"/>
      </w:r>
      <w:r>
        <w:rPr>
          <w:rFonts w:ascii="Times New Roman" w:hAnsi="Times New Roman"/>
          <w:b/>
          <w:bCs/>
          <w:color w:val="auto"/>
        </w:rPr>
        <w:t>10</w:t>
      </w:r>
      <w:r>
        <w:rPr>
          <w:rFonts w:ascii="Times New Roman" w:hAnsi="Times New Roman"/>
          <w:b/>
          <w:bCs/>
          <w:color w:val="auto"/>
        </w:rPr>
        <w:fldChar w:fldCharType="end"/>
      </w:r>
      <w:bookmarkStart w:id="708" w:name="_Toc13149"/>
      <w:r>
        <w:rPr>
          <w:rFonts w:ascii="Times New Roman" w:hAnsi="Times New Roman"/>
          <w:b/>
          <w:bCs/>
          <w:color w:val="auto"/>
        </w:rPr>
        <w:t>: Institutional Framework for ESMP</w:t>
      </w:r>
      <w:bookmarkEnd w:id="707"/>
      <w:bookmarkEnd w:id="708"/>
    </w:p>
    <w:tbl>
      <w:tblPr>
        <w:tblStyle w:val="7"/>
        <w:tblW w:w="10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7707"/>
      </w:tblGrid>
      <w:tr w14:paraId="3535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689" w:type="dxa"/>
          </w:tcPr>
          <w:p w14:paraId="6FF4BA43">
            <w:pPr>
              <w:spacing w:line="240" w:lineRule="auto"/>
              <w:rPr>
                <w:rFonts w:ascii="Times New Roman" w:hAnsi="Times New Roman"/>
                <w:szCs w:val="24"/>
              </w:rPr>
            </w:pPr>
            <w:r>
              <w:rPr>
                <w:rFonts w:ascii="Times New Roman" w:hAnsi="Times New Roman"/>
                <w:szCs w:val="24"/>
              </w:rPr>
              <w:t>Name of Institution</w:t>
            </w:r>
          </w:p>
        </w:tc>
        <w:tc>
          <w:tcPr>
            <w:tcW w:w="7707" w:type="dxa"/>
          </w:tcPr>
          <w:p w14:paraId="1A9A86E4">
            <w:pPr>
              <w:spacing w:line="240" w:lineRule="auto"/>
              <w:rPr>
                <w:rFonts w:ascii="Times New Roman" w:hAnsi="Times New Roman"/>
                <w:szCs w:val="24"/>
              </w:rPr>
            </w:pPr>
            <w:r>
              <w:rPr>
                <w:rFonts w:ascii="Times New Roman" w:hAnsi="Times New Roman"/>
                <w:szCs w:val="24"/>
              </w:rPr>
              <w:t>Role of Institution</w:t>
            </w:r>
          </w:p>
        </w:tc>
      </w:tr>
      <w:tr w14:paraId="0CBF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689" w:type="dxa"/>
          </w:tcPr>
          <w:p w14:paraId="64094A59">
            <w:pPr>
              <w:spacing w:line="240" w:lineRule="auto"/>
              <w:rPr>
                <w:rFonts w:ascii="Times New Roman" w:hAnsi="Times New Roman"/>
                <w:szCs w:val="24"/>
              </w:rPr>
            </w:pPr>
            <w:r>
              <w:rPr>
                <w:rFonts w:ascii="Times New Roman" w:hAnsi="Times New Roman"/>
                <w:szCs w:val="24"/>
              </w:rPr>
              <w:t>Ministry of Water and Sanitation</w:t>
            </w:r>
          </w:p>
        </w:tc>
        <w:tc>
          <w:tcPr>
            <w:tcW w:w="7707" w:type="dxa"/>
          </w:tcPr>
          <w:p w14:paraId="53762B7F">
            <w:pPr>
              <w:pStyle w:val="32"/>
              <w:numPr>
                <w:ilvl w:val="0"/>
                <w:numId w:val="94"/>
              </w:numPr>
              <w:spacing w:line="240" w:lineRule="auto"/>
              <w:ind w:left="139" w:hanging="221"/>
              <w:rPr>
                <w:rFonts w:ascii="Times New Roman" w:hAnsi="Times New Roman"/>
                <w:szCs w:val="24"/>
              </w:rPr>
            </w:pPr>
            <w:r>
              <w:rPr>
                <w:rFonts w:ascii="Times New Roman" w:hAnsi="Times New Roman"/>
                <w:szCs w:val="24"/>
              </w:rPr>
              <w:t xml:space="preserve">Central agency responsible for holding all information on the ESIA </w:t>
            </w:r>
          </w:p>
          <w:p w14:paraId="776F87F1">
            <w:pPr>
              <w:pStyle w:val="32"/>
              <w:numPr>
                <w:ilvl w:val="0"/>
                <w:numId w:val="94"/>
              </w:numPr>
              <w:spacing w:line="240" w:lineRule="auto"/>
              <w:ind w:left="139" w:hanging="221"/>
              <w:rPr>
                <w:rFonts w:ascii="Times New Roman" w:hAnsi="Times New Roman"/>
                <w:szCs w:val="24"/>
              </w:rPr>
            </w:pPr>
            <w:r>
              <w:rPr>
                <w:rFonts w:ascii="Times New Roman" w:hAnsi="Times New Roman"/>
                <w:szCs w:val="24"/>
              </w:rPr>
              <w:t xml:space="preserve">Mobilization of financial resources from Government/ County Governments for resettlement and compensation purposes of the approved ESIA </w:t>
            </w:r>
          </w:p>
        </w:tc>
      </w:tr>
      <w:tr w14:paraId="6235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689" w:type="dxa"/>
          </w:tcPr>
          <w:p w14:paraId="1AB3DB12">
            <w:pPr>
              <w:spacing w:line="240" w:lineRule="auto"/>
              <w:rPr>
                <w:rFonts w:ascii="Times New Roman" w:hAnsi="Times New Roman"/>
                <w:szCs w:val="24"/>
              </w:rPr>
            </w:pPr>
            <w:r>
              <w:rPr>
                <w:rFonts w:ascii="Times New Roman" w:hAnsi="Times New Roman"/>
                <w:szCs w:val="24"/>
              </w:rPr>
              <w:t>County Government of Kilifi</w:t>
            </w:r>
          </w:p>
        </w:tc>
        <w:tc>
          <w:tcPr>
            <w:tcW w:w="7707" w:type="dxa"/>
          </w:tcPr>
          <w:p w14:paraId="00E81337">
            <w:pPr>
              <w:spacing w:line="240" w:lineRule="auto"/>
              <w:rPr>
                <w:rFonts w:ascii="Times New Roman" w:hAnsi="Times New Roman"/>
                <w:szCs w:val="24"/>
              </w:rPr>
            </w:pPr>
            <w:r>
              <w:rPr>
                <w:rFonts w:ascii="Times New Roman" w:hAnsi="Times New Roman"/>
                <w:szCs w:val="24"/>
              </w:rPr>
              <w:t>Responsible for providing land for the project as per the integrated spatial plans.</w:t>
            </w:r>
          </w:p>
        </w:tc>
      </w:tr>
      <w:tr w14:paraId="79D1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2689" w:type="dxa"/>
          </w:tcPr>
          <w:p w14:paraId="46AC92F4">
            <w:pPr>
              <w:spacing w:line="240" w:lineRule="auto"/>
              <w:rPr>
                <w:rFonts w:ascii="Times New Roman" w:hAnsi="Times New Roman"/>
                <w:szCs w:val="24"/>
              </w:rPr>
            </w:pPr>
            <w:r>
              <w:rPr>
                <w:rFonts w:ascii="Times New Roman" w:hAnsi="Times New Roman"/>
                <w:szCs w:val="24"/>
              </w:rPr>
              <w:t>Water and Sanitation Development Project (WSDP)</w:t>
            </w:r>
          </w:p>
        </w:tc>
        <w:tc>
          <w:tcPr>
            <w:tcW w:w="7707" w:type="dxa"/>
          </w:tcPr>
          <w:p w14:paraId="658E71DB">
            <w:pPr>
              <w:pStyle w:val="32"/>
              <w:numPr>
                <w:ilvl w:val="0"/>
                <w:numId w:val="95"/>
              </w:numPr>
              <w:spacing w:line="240" w:lineRule="auto"/>
              <w:ind w:left="139" w:hanging="131"/>
              <w:rPr>
                <w:rFonts w:ascii="Times New Roman" w:hAnsi="Times New Roman"/>
                <w:szCs w:val="24"/>
              </w:rPr>
            </w:pPr>
            <w:r>
              <w:rPr>
                <w:rFonts w:ascii="Times New Roman" w:hAnsi="Times New Roman"/>
                <w:szCs w:val="24"/>
              </w:rPr>
              <w:t>Program under the Ministry of Water and Sanitation in the implementation of the project.</w:t>
            </w:r>
          </w:p>
          <w:p w14:paraId="24B2C8E2">
            <w:pPr>
              <w:pStyle w:val="32"/>
              <w:numPr>
                <w:ilvl w:val="0"/>
                <w:numId w:val="95"/>
              </w:numPr>
              <w:spacing w:line="240" w:lineRule="auto"/>
              <w:ind w:left="139" w:hanging="131"/>
              <w:rPr>
                <w:rFonts w:ascii="Times New Roman" w:hAnsi="Times New Roman"/>
                <w:szCs w:val="24"/>
              </w:rPr>
            </w:pPr>
            <w:r>
              <w:rPr>
                <w:rFonts w:ascii="Times New Roman" w:hAnsi="Times New Roman"/>
                <w:szCs w:val="24"/>
              </w:rPr>
              <w:t>Represent the ministry in the project.</w:t>
            </w:r>
          </w:p>
        </w:tc>
      </w:tr>
      <w:tr w14:paraId="501A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0" w:hRule="atLeast"/>
        </w:trPr>
        <w:tc>
          <w:tcPr>
            <w:tcW w:w="2689" w:type="dxa"/>
          </w:tcPr>
          <w:p w14:paraId="6EE7A2E7">
            <w:pPr>
              <w:spacing w:line="240" w:lineRule="auto"/>
              <w:rPr>
                <w:rFonts w:ascii="Times New Roman" w:hAnsi="Times New Roman"/>
                <w:szCs w:val="24"/>
              </w:rPr>
            </w:pPr>
            <w:r>
              <w:rPr>
                <w:rFonts w:ascii="Times New Roman" w:hAnsi="Times New Roman"/>
                <w:szCs w:val="24"/>
              </w:rPr>
              <w:t>KIMAWASCO</w:t>
            </w:r>
          </w:p>
        </w:tc>
        <w:tc>
          <w:tcPr>
            <w:tcW w:w="7707" w:type="dxa"/>
          </w:tcPr>
          <w:p w14:paraId="47617247">
            <w:pPr>
              <w:pStyle w:val="32"/>
              <w:numPr>
                <w:ilvl w:val="0"/>
                <w:numId w:val="96"/>
              </w:numPr>
              <w:spacing w:line="240" w:lineRule="auto"/>
              <w:ind w:left="139" w:hanging="221"/>
              <w:rPr>
                <w:rFonts w:ascii="Times New Roman" w:hAnsi="Times New Roman"/>
                <w:szCs w:val="24"/>
              </w:rPr>
            </w:pPr>
            <w:r>
              <w:rPr>
                <w:rFonts w:ascii="Times New Roman" w:hAnsi="Times New Roman"/>
                <w:szCs w:val="24"/>
              </w:rPr>
              <w:t xml:space="preserve">Responsible for contracting the works, and supervising and managing the contractor, under the project </w:t>
            </w:r>
          </w:p>
          <w:p w14:paraId="0069D91A">
            <w:pPr>
              <w:pStyle w:val="32"/>
              <w:numPr>
                <w:ilvl w:val="0"/>
                <w:numId w:val="96"/>
              </w:numPr>
              <w:spacing w:line="240" w:lineRule="auto"/>
              <w:ind w:left="139" w:hanging="221"/>
              <w:rPr>
                <w:rFonts w:ascii="Times New Roman" w:hAnsi="Times New Roman"/>
                <w:szCs w:val="24"/>
              </w:rPr>
            </w:pPr>
            <w:r>
              <w:rPr>
                <w:rFonts w:ascii="Times New Roman" w:hAnsi="Times New Roman"/>
                <w:szCs w:val="24"/>
              </w:rPr>
              <w:t xml:space="preserve">Responsible for day-to-day coordination and implementation of the project. </w:t>
            </w:r>
          </w:p>
          <w:p w14:paraId="77BA5C9C">
            <w:pPr>
              <w:pStyle w:val="32"/>
              <w:numPr>
                <w:ilvl w:val="0"/>
                <w:numId w:val="96"/>
              </w:numPr>
              <w:spacing w:line="240" w:lineRule="auto"/>
              <w:ind w:left="139" w:hanging="221"/>
              <w:rPr>
                <w:rFonts w:ascii="Times New Roman" w:hAnsi="Times New Roman"/>
                <w:szCs w:val="24"/>
              </w:rPr>
            </w:pPr>
            <w:r>
              <w:rPr>
                <w:rFonts w:ascii="Times New Roman" w:hAnsi="Times New Roman"/>
                <w:szCs w:val="24"/>
              </w:rPr>
              <w:t xml:space="preserve">Oversee the contractor’s work </w:t>
            </w:r>
          </w:p>
          <w:p w14:paraId="437FC648">
            <w:pPr>
              <w:pStyle w:val="32"/>
              <w:numPr>
                <w:ilvl w:val="0"/>
                <w:numId w:val="96"/>
              </w:numPr>
              <w:spacing w:line="240" w:lineRule="auto"/>
              <w:ind w:left="139" w:hanging="221"/>
              <w:rPr>
                <w:rFonts w:ascii="Times New Roman" w:hAnsi="Times New Roman"/>
                <w:szCs w:val="24"/>
              </w:rPr>
            </w:pPr>
            <w:r>
              <w:rPr>
                <w:rFonts w:ascii="Times New Roman" w:hAnsi="Times New Roman"/>
                <w:szCs w:val="24"/>
              </w:rPr>
              <w:t>Seek approval from NLC for the acquisition of any parcels required for the sub-projects.</w:t>
            </w:r>
          </w:p>
          <w:p w14:paraId="17E698E4">
            <w:pPr>
              <w:pStyle w:val="32"/>
              <w:numPr>
                <w:ilvl w:val="0"/>
                <w:numId w:val="96"/>
              </w:numPr>
              <w:spacing w:line="240" w:lineRule="auto"/>
              <w:ind w:left="139" w:hanging="221"/>
              <w:rPr>
                <w:rFonts w:ascii="Times New Roman" w:hAnsi="Times New Roman"/>
                <w:szCs w:val="24"/>
              </w:rPr>
            </w:pPr>
            <w:r>
              <w:rPr>
                <w:rFonts w:ascii="Times New Roman" w:hAnsi="Times New Roman"/>
                <w:szCs w:val="24"/>
              </w:rPr>
              <w:t>Assist in the establishment of the GRC</w:t>
            </w:r>
          </w:p>
          <w:p w14:paraId="0484296A">
            <w:pPr>
              <w:pStyle w:val="32"/>
              <w:numPr>
                <w:ilvl w:val="0"/>
                <w:numId w:val="96"/>
              </w:numPr>
              <w:spacing w:line="240" w:lineRule="auto"/>
              <w:ind w:left="139" w:hanging="221"/>
              <w:rPr>
                <w:rFonts w:ascii="Times New Roman" w:hAnsi="Times New Roman"/>
                <w:szCs w:val="24"/>
              </w:rPr>
            </w:pPr>
            <w:r>
              <w:rPr>
                <w:rFonts w:ascii="Times New Roman" w:hAnsi="Times New Roman"/>
                <w:szCs w:val="24"/>
              </w:rPr>
              <w:t>Establish the GRC operations.</w:t>
            </w:r>
          </w:p>
          <w:p w14:paraId="5D357F07">
            <w:pPr>
              <w:pStyle w:val="32"/>
              <w:numPr>
                <w:ilvl w:val="0"/>
                <w:numId w:val="96"/>
              </w:numPr>
              <w:spacing w:line="240" w:lineRule="auto"/>
              <w:ind w:left="139" w:hanging="221"/>
              <w:rPr>
                <w:rFonts w:ascii="Times New Roman" w:hAnsi="Times New Roman"/>
                <w:szCs w:val="24"/>
              </w:rPr>
            </w:pPr>
            <w:r>
              <w:rPr>
                <w:rFonts w:ascii="Times New Roman" w:hAnsi="Times New Roman"/>
                <w:szCs w:val="24"/>
              </w:rPr>
              <w:t>Implementation and compensation through NLC.</w:t>
            </w:r>
          </w:p>
          <w:p w14:paraId="6857203C">
            <w:pPr>
              <w:pStyle w:val="32"/>
              <w:numPr>
                <w:ilvl w:val="0"/>
                <w:numId w:val="96"/>
              </w:numPr>
              <w:spacing w:line="240" w:lineRule="auto"/>
              <w:ind w:left="139" w:hanging="221"/>
              <w:rPr>
                <w:rFonts w:ascii="Times New Roman" w:hAnsi="Times New Roman"/>
                <w:szCs w:val="24"/>
              </w:rPr>
            </w:pPr>
            <w:r>
              <w:rPr>
                <w:rFonts w:ascii="Times New Roman" w:hAnsi="Times New Roman"/>
                <w:szCs w:val="24"/>
              </w:rPr>
              <w:t>Ensure the grievance committees are established and working.</w:t>
            </w:r>
          </w:p>
          <w:p w14:paraId="717C7ED4">
            <w:pPr>
              <w:pStyle w:val="32"/>
              <w:numPr>
                <w:ilvl w:val="0"/>
                <w:numId w:val="96"/>
              </w:numPr>
              <w:spacing w:line="240" w:lineRule="auto"/>
              <w:ind w:left="139" w:hanging="221"/>
              <w:rPr>
                <w:rFonts w:ascii="Times New Roman" w:hAnsi="Times New Roman"/>
                <w:szCs w:val="24"/>
              </w:rPr>
            </w:pPr>
            <w:r>
              <w:rPr>
                <w:rFonts w:ascii="Times New Roman" w:hAnsi="Times New Roman"/>
                <w:szCs w:val="24"/>
              </w:rPr>
              <w:t>Monitor the ESMP implementation.</w:t>
            </w:r>
          </w:p>
        </w:tc>
      </w:tr>
      <w:tr w14:paraId="353E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689" w:type="dxa"/>
          </w:tcPr>
          <w:p w14:paraId="20E68883">
            <w:pPr>
              <w:spacing w:line="240" w:lineRule="auto"/>
              <w:rPr>
                <w:rFonts w:ascii="Times New Roman" w:hAnsi="Times New Roman"/>
                <w:szCs w:val="24"/>
              </w:rPr>
            </w:pPr>
            <w:r>
              <w:rPr>
                <w:rFonts w:ascii="Times New Roman" w:hAnsi="Times New Roman"/>
                <w:szCs w:val="24"/>
              </w:rPr>
              <w:t>NEMA</w:t>
            </w:r>
          </w:p>
        </w:tc>
        <w:tc>
          <w:tcPr>
            <w:tcW w:w="7707" w:type="dxa"/>
          </w:tcPr>
          <w:p w14:paraId="470FBCFE">
            <w:pPr>
              <w:pStyle w:val="32"/>
              <w:numPr>
                <w:ilvl w:val="0"/>
                <w:numId w:val="97"/>
              </w:numPr>
              <w:spacing w:line="240" w:lineRule="auto"/>
              <w:ind w:left="139" w:hanging="229"/>
              <w:rPr>
                <w:rFonts w:ascii="Times New Roman" w:hAnsi="Times New Roman"/>
                <w:szCs w:val="24"/>
              </w:rPr>
            </w:pPr>
            <w:r>
              <w:rPr>
                <w:rFonts w:ascii="Times New Roman" w:hAnsi="Times New Roman"/>
                <w:szCs w:val="24"/>
              </w:rPr>
              <w:t>Provide approval of the ESIA report</w:t>
            </w:r>
          </w:p>
          <w:p w14:paraId="41D226FA">
            <w:pPr>
              <w:pStyle w:val="32"/>
              <w:numPr>
                <w:ilvl w:val="0"/>
                <w:numId w:val="97"/>
              </w:numPr>
              <w:spacing w:line="240" w:lineRule="auto"/>
              <w:ind w:left="139" w:hanging="229"/>
              <w:rPr>
                <w:rFonts w:ascii="Times New Roman" w:hAnsi="Times New Roman"/>
                <w:szCs w:val="24"/>
              </w:rPr>
            </w:pPr>
            <w:r>
              <w:rPr>
                <w:rFonts w:ascii="Times New Roman" w:hAnsi="Times New Roman"/>
                <w:szCs w:val="24"/>
              </w:rPr>
              <w:t>Review and provide a NEMA license for the ESMP.</w:t>
            </w:r>
          </w:p>
          <w:p w14:paraId="362E2255">
            <w:pPr>
              <w:pStyle w:val="32"/>
              <w:numPr>
                <w:ilvl w:val="0"/>
                <w:numId w:val="97"/>
              </w:numPr>
              <w:spacing w:line="240" w:lineRule="auto"/>
              <w:ind w:left="139" w:hanging="229"/>
              <w:rPr>
                <w:rFonts w:ascii="Times New Roman" w:hAnsi="Times New Roman"/>
                <w:szCs w:val="24"/>
              </w:rPr>
            </w:pPr>
            <w:r>
              <w:rPr>
                <w:rFonts w:ascii="Times New Roman" w:hAnsi="Times New Roman"/>
                <w:szCs w:val="24"/>
              </w:rPr>
              <w:t>Be part of the GRC and participate in the resolution of grievances.</w:t>
            </w:r>
          </w:p>
          <w:p w14:paraId="22E7E4BB">
            <w:pPr>
              <w:pStyle w:val="32"/>
              <w:numPr>
                <w:ilvl w:val="0"/>
                <w:numId w:val="97"/>
              </w:numPr>
              <w:spacing w:line="240" w:lineRule="auto"/>
              <w:ind w:left="139" w:hanging="229"/>
              <w:rPr>
                <w:rFonts w:ascii="Times New Roman" w:hAnsi="Times New Roman"/>
                <w:szCs w:val="24"/>
              </w:rPr>
            </w:pPr>
            <w:r>
              <w:rPr>
                <w:rFonts w:ascii="Times New Roman" w:hAnsi="Times New Roman"/>
                <w:szCs w:val="24"/>
              </w:rPr>
              <w:t>Escalate unsolvable grievances to the tribunal.</w:t>
            </w:r>
          </w:p>
        </w:tc>
      </w:tr>
      <w:tr w14:paraId="1803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689" w:type="dxa"/>
          </w:tcPr>
          <w:p w14:paraId="3FEE36D6">
            <w:pPr>
              <w:spacing w:line="240" w:lineRule="auto"/>
              <w:rPr>
                <w:rFonts w:ascii="Times New Roman" w:hAnsi="Times New Roman"/>
                <w:szCs w:val="24"/>
              </w:rPr>
            </w:pPr>
            <w:r>
              <w:rPr>
                <w:rFonts w:ascii="Times New Roman" w:hAnsi="Times New Roman"/>
                <w:szCs w:val="24"/>
              </w:rPr>
              <w:t>Contractor</w:t>
            </w:r>
          </w:p>
        </w:tc>
        <w:tc>
          <w:tcPr>
            <w:tcW w:w="7707" w:type="dxa"/>
          </w:tcPr>
          <w:p w14:paraId="30BA8EC1">
            <w:pPr>
              <w:pStyle w:val="32"/>
              <w:numPr>
                <w:ilvl w:val="0"/>
                <w:numId w:val="98"/>
              </w:numPr>
              <w:spacing w:line="240" w:lineRule="auto"/>
              <w:ind w:left="139" w:hanging="221"/>
              <w:rPr>
                <w:rFonts w:ascii="Times New Roman" w:hAnsi="Times New Roman"/>
                <w:szCs w:val="24"/>
              </w:rPr>
            </w:pPr>
            <w:r>
              <w:rPr>
                <w:rFonts w:ascii="Times New Roman" w:hAnsi="Times New Roman"/>
                <w:szCs w:val="24"/>
              </w:rPr>
              <w:t>Implementing the project</w:t>
            </w:r>
          </w:p>
          <w:p w14:paraId="000341E2">
            <w:pPr>
              <w:pStyle w:val="32"/>
              <w:numPr>
                <w:ilvl w:val="0"/>
                <w:numId w:val="98"/>
              </w:numPr>
              <w:spacing w:line="240" w:lineRule="auto"/>
              <w:ind w:left="139" w:hanging="221"/>
              <w:rPr>
                <w:rFonts w:ascii="Times New Roman" w:hAnsi="Times New Roman"/>
                <w:szCs w:val="24"/>
              </w:rPr>
            </w:pPr>
            <w:r>
              <w:rPr>
                <w:rFonts w:ascii="Times New Roman" w:hAnsi="Times New Roman"/>
                <w:szCs w:val="24"/>
              </w:rPr>
              <w:t>To ensure strict compliance environmental specifications of this ESMP</w:t>
            </w:r>
          </w:p>
        </w:tc>
      </w:tr>
      <w:tr w14:paraId="5A95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2689" w:type="dxa"/>
          </w:tcPr>
          <w:p w14:paraId="4AAEF181">
            <w:pPr>
              <w:spacing w:line="240" w:lineRule="auto"/>
              <w:rPr>
                <w:rFonts w:ascii="Times New Roman" w:hAnsi="Times New Roman"/>
                <w:szCs w:val="24"/>
              </w:rPr>
            </w:pPr>
            <w:r>
              <w:rPr>
                <w:rFonts w:ascii="Times New Roman" w:hAnsi="Times New Roman"/>
                <w:szCs w:val="24"/>
              </w:rPr>
              <w:t>Supervision Expert</w:t>
            </w:r>
          </w:p>
        </w:tc>
        <w:tc>
          <w:tcPr>
            <w:tcW w:w="7707" w:type="dxa"/>
          </w:tcPr>
          <w:p w14:paraId="3473AEA1">
            <w:pPr>
              <w:pStyle w:val="32"/>
              <w:numPr>
                <w:ilvl w:val="0"/>
                <w:numId w:val="99"/>
              </w:numPr>
              <w:spacing w:line="240" w:lineRule="auto"/>
              <w:ind w:left="139" w:hanging="131"/>
              <w:rPr>
                <w:rFonts w:ascii="Times New Roman" w:hAnsi="Times New Roman"/>
                <w:szCs w:val="24"/>
              </w:rPr>
            </w:pPr>
            <w:r>
              <w:rPr>
                <w:rFonts w:ascii="Times New Roman" w:hAnsi="Times New Roman"/>
                <w:szCs w:val="24"/>
              </w:rPr>
              <w:t>Ensure that the proposed ESMP is up to date and is being used by the contractor.</w:t>
            </w:r>
          </w:p>
          <w:p w14:paraId="54FF20AB">
            <w:pPr>
              <w:pStyle w:val="32"/>
              <w:numPr>
                <w:ilvl w:val="0"/>
                <w:numId w:val="99"/>
              </w:numPr>
              <w:spacing w:line="240" w:lineRule="auto"/>
              <w:ind w:left="139" w:hanging="131"/>
              <w:rPr>
                <w:rFonts w:ascii="Times New Roman" w:hAnsi="Times New Roman"/>
                <w:szCs w:val="24"/>
              </w:rPr>
            </w:pPr>
            <w:r>
              <w:rPr>
                <w:rFonts w:ascii="Times New Roman" w:hAnsi="Times New Roman"/>
                <w:szCs w:val="24"/>
              </w:rPr>
              <w:t>Periodic audits of the ESMP will have to be done to ensure that its performance is as expected.</w:t>
            </w:r>
          </w:p>
        </w:tc>
      </w:tr>
    </w:tbl>
    <w:p w14:paraId="240F0FAE">
      <w:pPr>
        <w:spacing w:line="240" w:lineRule="auto"/>
        <w:rPr>
          <w:rFonts w:ascii="Times New Roman" w:hAnsi="Times New Roman"/>
          <w:szCs w:val="24"/>
        </w:rPr>
      </w:pPr>
    </w:p>
    <w:p w14:paraId="70D952DC">
      <w:pPr>
        <w:spacing w:after="0" w:line="240" w:lineRule="auto"/>
        <w:rPr>
          <w:rFonts w:ascii="Times New Roman" w:hAnsi="Times New Roman"/>
          <w:szCs w:val="24"/>
        </w:rPr>
      </w:pPr>
      <w:r>
        <w:rPr>
          <w:rFonts w:ascii="Times New Roman" w:hAnsi="Times New Roman"/>
          <w:szCs w:val="24"/>
        </w:rPr>
        <w:br w:type="page"/>
      </w:r>
    </w:p>
    <w:p w14:paraId="5C4CBB28">
      <w:pPr>
        <w:pStyle w:val="2"/>
        <w:numPr>
          <w:ilvl w:val="0"/>
          <w:numId w:val="100"/>
        </w:numPr>
        <w:shd w:val="clear" w:color="auto" w:fill="auto"/>
        <w:spacing w:line="240" w:lineRule="auto"/>
        <w:rPr>
          <w:rFonts w:ascii="Times New Roman" w:hAnsi="Times New Roman"/>
          <w:szCs w:val="24"/>
        </w:rPr>
      </w:pPr>
      <w:bookmarkStart w:id="709" w:name="_Toc220710872"/>
      <w:bookmarkStart w:id="710" w:name="_Toc24494"/>
      <w:bookmarkStart w:id="711" w:name="_Toc15326"/>
      <w:bookmarkStart w:id="712" w:name="_Toc3428"/>
      <w:r>
        <w:rPr>
          <w:rFonts w:ascii="Times New Roman" w:hAnsi="Times New Roman"/>
          <w:szCs w:val="24"/>
        </w:rPr>
        <w:t>CONCLUSIONS AND RECOMMENDATIONS</w:t>
      </w:r>
      <w:bookmarkEnd w:id="709"/>
      <w:bookmarkEnd w:id="710"/>
      <w:bookmarkEnd w:id="711"/>
      <w:bookmarkEnd w:id="712"/>
    </w:p>
    <w:p w14:paraId="06B4C37A">
      <w:pPr>
        <w:spacing w:line="240" w:lineRule="auto"/>
        <w:jc w:val="both"/>
        <w:rPr>
          <w:rFonts w:ascii="Times New Roman" w:hAnsi="Times New Roman"/>
          <w:szCs w:val="24"/>
        </w:rPr>
      </w:pPr>
      <w:r>
        <w:rPr>
          <w:rFonts w:ascii="Times New Roman" w:hAnsi="Times New Roman"/>
          <w:szCs w:val="24"/>
        </w:rPr>
        <w:t xml:space="preserve">In summary, the implementation of the proposed construction of KIMAWASCO Head Office ablution block project as an immediate measure to cater especially for the needs of the staff and the visitors around under the WSDP program in Kilifi Town will boost the sanitation aspect of the Town through improved overall hygiene. Since the project  site is within a high catchment area, it is vital for the facility to be properly maintained as per the guidelines that will be provided by the WSP-KIMAWASCO for them to survive the test of time. While there are some public toilet facilities within the town, they are not adequate to cater for the growing needs of the ballooning population. </w:t>
      </w:r>
    </w:p>
    <w:p w14:paraId="5FBBDFE8">
      <w:pPr>
        <w:spacing w:line="240" w:lineRule="auto"/>
        <w:jc w:val="both"/>
        <w:rPr>
          <w:rFonts w:ascii="Times New Roman" w:hAnsi="Times New Roman"/>
          <w:szCs w:val="24"/>
        </w:rPr>
      </w:pPr>
      <w:r>
        <w:rPr>
          <w:rFonts w:ascii="Times New Roman" w:hAnsi="Times New Roman"/>
          <w:szCs w:val="24"/>
        </w:rPr>
        <w:t>The negative impacts identified in this project ESIA report during all the phases of the project including waste generation, air pollution, noise pollution, occupational health and safety impacts, staff/community health and safety impacts, traffic, labour influx and gender impacts will be limited to the specific project location and can be readily mitigated through the measures proposed in the ESMP as well as the preparation and implementation of safeguard plans including but not limited to:</w:t>
      </w:r>
    </w:p>
    <w:p w14:paraId="4589B726">
      <w:pPr>
        <w:spacing w:line="240" w:lineRule="auto"/>
        <w:jc w:val="both"/>
        <w:rPr>
          <w:rFonts w:ascii="Times New Roman" w:hAnsi="Times New Roman"/>
          <w:szCs w:val="24"/>
        </w:rPr>
      </w:pPr>
      <w:r>
        <w:rPr>
          <w:rFonts w:ascii="Times New Roman" w:hAnsi="Times New Roman"/>
          <w:szCs w:val="24"/>
        </w:rPr>
        <w:t xml:space="preserve">In addition, the recommendations from the public consultation and participation process was incorporated into the findings of this report, some of the major issues addressed in the public participation include how the facility shall be maintained during the operation of the project as well as the water scarcity concerns among the locals within the project area. </w:t>
      </w:r>
    </w:p>
    <w:p w14:paraId="4F440DE9">
      <w:pPr>
        <w:spacing w:line="240" w:lineRule="auto"/>
        <w:jc w:val="both"/>
        <w:rPr>
          <w:rFonts w:ascii="Times New Roman" w:hAnsi="Times New Roman"/>
          <w:szCs w:val="24"/>
        </w:rPr>
      </w:pPr>
      <w:r>
        <w:rPr>
          <w:rFonts w:ascii="Times New Roman" w:hAnsi="Times New Roman"/>
          <w:szCs w:val="24"/>
        </w:rPr>
        <w:t xml:space="preserve">The ESIA concludes that the short-term benefits of the project will be realised once the project is fully implemented according to plan. However, the town in its entirety require several additional ablution block notably in public institutions such as the hospitals. </w:t>
      </w:r>
    </w:p>
    <w:p w14:paraId="00D68D13">
      <w:pPr>
        <w:spacing w:line="240" w:lineRule="auto"/>
        <w:jc w:val="both"/>
        <w:rPr>
          <w:rFonts w:ascii="Times New Roman" w:hAnsi="Times New Roman"/>
          <w:szCs w:val="24"/>
        </w:rPr>
      </w:pPr>
      <w:r>
        <w:rPr>
          <w:rFonts w:ascii="Times New Roman" w:hAnsi="Times New Roman"/>
          <w:szCs w:val="24"/>
        </w:rPr>
        <w:t xml:space="preserve">This project has been rated Category B under the World Bank Operational Policy on Environmental Assessment (OP 4.01). This means that projected impacts will not affect an area broader than the site and facilities subjected to the physical works. These impacts are easily reversible through appropriate mitigation measures provided in this assessment. There are incremental costs required to achieve these. </w:t>
      </w:r>
    </w:p>
    <w:p w14:paraId="41EEB4D2">
      <w:pPr>
        <w:spacing w:after="0" w:line="240" w:lineRule="auto"/>
        <w:rPr>
          <w:rFonts w:ascii="Times New Roman" w:hAnsi="Times New Roman"/>
          <w:szCs w:val="24"/>
        </w:rPr>
      </w:pPr>
      <w:r>
        <w:rPr>
          <w:rFonts w:ascii="Times New Roman" w:hAnsi="Times New Roman"/>
          <w:szCs w:val="24"/>
        </w:rPr>
        <w:br w:type="page"/>
      </w:r>
    </w:p>
    <w:p w14:paraId="7D9BA87D">
      <w:pPr>
        <w:spacing w:line="240" w:lineRule="auto"/>
        <w:jc w:val="both"/>
        <w:rPr>
          <w:rFonts w:ascii="Times New Roman" w:hAnsi="Times New Roman"/>
          <w:szCs w:val="24"/>
        </w:rPr>
      </w:pPr>
    </w:p>
    <w:p w14:paraId="579BC4A9">
      <w:pPr>
        <w:pStyle w:val="2"/>
        <w:numPr>
          <w:ilvl w:val="0"/>
          <w:numId w:val="100"/>
        </w:numPr>
        <w:shd w:val="clear" w:color="auto" w:fill="auto"/>
        <w:spacing w:line="240" w:lineRule="auto"/>
        <w:rPr>
          <w:rFonts w:ascii="Times New Roman" w:hAnsi="Times New Roman"/>
          <w:szCs w:val="24"/>
        </w:rPr>
      </w:pPr>
      <w:bookmarkStart w:id="713" w:name="_Toc220710873"/>
      <w:bookmarkStart w:id="714" w:name="_Toc9758"/>
      <w:bookmarkStart w:id="715" w:name="_Toc6904"/>
      <w:bookmarkStart w:id="716" w:name="_Toc26829"/>
      <w:r>
        <w:rPr>
          <w:rFonts w:ascii="Times New Roman" w:hAnsi="Times New Roman"/>
          <w:szCs w:val="24"/>
        </w:rPr>
        <w:t>REFERENCES</w:t>
      </w:r>
      <w:bookmarkEnd w:id="713"/>
      <w:bookmarkEnd w:id="714"/>
      <w:bookmarkEnd w:id="715"/>
      <w:bookmarkEnd w:id="716"/>
    </w:p>
    <w:p w14:paraId="0DD46DFA">
      <w:pPr>
        <w:pStyle w:val="32"/>
        <w:numPr>
          <w:ilvl w:val="0"/>
          <w:numId w:val="101"/>
        </w:numPr>
        <w:spacing w:after="200" w:line="240" w:lineRule="auto"/>
        <w:rPr>
          <w:rFonts w:ascii="Times New Roman" w:hAnsi="Times New Roman"/>
          <w:szCs w:val="24"/>
        </w:rPr>
      </w:pPr>
      <w:r>
        <w:rPr>
          <w:rFonts w:ascii="Times New Roman" w:hAnsi="Times New Roman"/>
          <w:szCs w:val="24"/>
        </w:rPr>
        <w:t xml:space="preserve">Republic of Kenya, Environmental Management and Coordination Act (EMCA, Cap 387), </w:t>
      </w:r>
    </w:p>
    <w:p w14:paraId="298BB67C">
      <w:pPr>
        <w:pStyle w:val="32"/>
        <w:numPr>
          <w:ilvl w:val="0"/>
          <w:numId w:val="101"/>
        </w:numPr>
        <w:spacing w:after="200" w:line="240" w:lineRule="auto"/>
        <w:rPr>
          <w:rFonts w:ascii="Times New Roman" w:hAnsi="Times New Roman"/>
          <w:szCs w:val="24"/>
        </w:rPr>
      </w:pPr>
      <w:r>
        <w:rPr>
          <w:rFonts w:ascii="Times New Roman" w:hAnsi="Times New Roman"/>
          <w:szCs w:val="24"/>
        </w:rPr>
        <w:t>Final Wastewater Master Plan for Kilifi County – MIPB and Partners Consulting Engineer</w:t>
      </w:r>
    </w:p>
    <w:p w14:paraId="6FE48265">
      <w:pPr>
        <w:pStyle w:val="32"/>
        <w:numPr>
          <w:ilvl w:val="0"/>
          <w:numId w:val="101"/>
        </w:numPr>
        <w:spacing w:after="200" w:line="240" w:lineRule="auto"/>
        <w:rPr>
          <w:rFonts w:ascii="Times New Roman" w:hAnsi="Times New Roman"/>
          <w:szCs w:val="24"/>
        </w:rPr>
      </w:pPr>
      <w:r>
        <w:rPr>
          <w:rFonts w:ascii="Times New Roman" w:hAnsi="Times New Roman"/>
          <w:szCs w:val="24"/>
        </w:rPr>
        <w:t>Government Printer, Nairobi</w:t>
      </w:r>
    </w:p>
    <w:p w14:paraId="2C6B443E">
      <w:pPr>
        <w:pStyle w:val="32"/>
        <w:numPr>
          <w:ilvl w:val="0"/>
          <w:numId w:val="101"/>
        </w:numPr>
        <w:spacing w:after="200" w:line="240" w:lineRule="auto"/>
        <w:rPr>
          <w:rFonts w:ascii="Times New Roman" w:hAnsi="Times New Roman"/>
          <w:szCs w:val="24"/>
        </w:rPr>
      </w:pPr>
      <w:r>
        <w:rPr>
          <w:rFonts w:ascii="Times New Roman" w:hAnsi="Times New Roman"/>
          <w:szCs w:val="24"/>
        </w:rPr>
        <w:t>Republic of Kenya, Water Act (2016), Government Printer, Nairobi</w:t>
      </w:r>
    </w:p>
    <w:p w14:paraId="2A25D990">
      <w:pPr>
        <w:pStyle w:val="32"/>
        <w:numPr>
          <w:ilvl w:val="0"/>
          <w:numId w:val="101"/>
        </w:numPr>
        <w:spacing w:after="200" w:line="240" w:lineRule="auto"/>
        <w:rPr>
          <w:rFonts w:ascii="Times New Roman" w:hAnsi="Times New Roman"/>
          <w:szCs w:val="24"/>
        </w:rPr>
      </w:pPr>
      <w:r>
        <w:rPr>
          <w:rFonts w:ascii="Times New Roman" w:hAnsi="Times New Roman"/>
          <w:szCs w:val="24"/>
        </w:rPr>
        <w:t>Republic of Kenya, Public Health Act, Cap 242, Government Printer, Nairobi.</w:t>
      </w:r>
    </w:p>
    <w:p w14:paraId="09183764">
      <w:pPr>
        <w:pStyle w:val="32"/>
        <w:numPr>
          <w:ilvl w:val="0"/>
          <w:numId w:val="101"/>
        </w:numPr>
        <w:spacing w:after="200" w:line="240" w:lineRule="auto"/>
        <w:rPr>
          <w:rFonts w:ascii="Times New Roman" w:hAnsi="Times New Roman"/>
          <w:szCs w:val="24"/>
        </w:rPr>
      </w:pPr>
      <w:r>
        <w:rPr>
          <w:rFonts w:ascii="Times New Roman" w:hAnsi="Times New Roman"/>
          <w:szCs w:val="24"/>
        </w:rPr>
        <w:t xml:space="preserve">Republic of Kenya, Environmental Impact Assessment/Audit Regulations 2025, (Legal Notice No.101) Government Printer, Nairobi </w:t>
      </w:r>
    </w:p>
    <w:p w14:paraId="0111B526">
      <w:pPr>
        <w:pStyle w:val="32"/>
        <w:numPr>
          <w:ilvl w:val="0"/>
          <w:numId w:val="101"/>
        </w:numPr>
        <w:spacing w:after="200" w:line="240" w:lineRule="auto"/>
        <w:rPr>
          <w:rFonts w:ascii="Times New Roman" w:hAnsi="Times New Roman"/>
          <w:szCs w:val="24"/>
        </w:rPr>
      </w:pPr>
      <w:r>
        <w:rPr>
          <w:rFonts w:ascii="Times New Roman" w:hAnsi="Times New Roman"/>
          <w:szCs w:val="24"/>
        </w:rPr>
        <w:t>The Constitution of Kenya, 2010</w:t>
      </w:r>
    </w:p>
    <w:p w14:paraId="1F5F20AA">
      <w:pPr>
        <w:pStyle w:val="32"/>
        <w:numPr>
          <w:ilvl w:val="0"/>
          <w:numId w:val="101"/>
        </w:numPr>
        <w:spacing w:after="200" w:line="240" w:lineRule="auto"/>
        <w:rPr>
          <w:rFonts w:ascii="Times New Roman" w:hAnsi="Times New Roman"/>
          <w:szCs w:val="24"/>
        </w:rPr>
      </w:pPr>
      <w:r>
        <w:rPr>
          <w:rFonts w:ascii="Times New Roman" w:hAnsi="Times New Roman"/>
          <w:szCs w:val="24"/>
        </w:rPr>
        <w:t>The Land Act, No. 6 of 2012</w:t>
      </w:r>
    </w:p>
    <w:p w14:paraId="1F74D388">
      <w:pPr>
        <w:pStyle w:val="32"/>
        <w:numPr>
          <w:ilvl w:val="0"/>
          <w:numId w:val="101"/>
        </w:numPr>
        <w:spacing w:after="200" w:line="240" w:lineRule="auto"/>
        <w:rPr>
          <w:rFonts w:ascii="Times New Roman" w:hAnsi="Times New Roman"/>
          <w:szCs w:val="24"/>
        </w:rPr>
      </w:pPr>
      <w:r>
        <w:rPr>
          <w:rFonts w:ascii="Times New Roman" w:hAnsi="Times New Roman"/>
          <w:szCs w:val="24"/>
        </w:rPr>
        <w:t>The Physical and Land use Planning Act, of 2019</w:t>
      </w:r>
    </w:p>
    <w:p w14:paraId="5FE3C91B">
      <w:pPr>
        <w:pStyle w:val="32"/>
        <w:numPr>
          <w:ilvl w:val="0"/>
          <w:numId w:val="101"/>
        </w:numPr>
        <w:spacing w:after="200" w:line="240" w:lineRule="auto"/>
        <w:rPr>
          <w:rFonts w:ascii="Times New Roman" w:hAnsi="Times New Roman"/>
          <w:szCs w:val="24"/>
        </w:rPr>
      </w:pPr>
      <w:r>
        <w:rPr>
          <w:rFonts w:ascii="Times New Roman" w:hAnsi="Times New Roman"/>
          <w:szCs w:val="24"/>
        </w:rPr>
        <w:t>The Occupational Health and Safety Act, 2007</w:t>
      </w:r>
    </w:p>
    <w:p w14:paraId="40A6F7F3">
      <w:pPr>
        <w:pStyle w:val="32"/>
        <w:numPr>
          <w:ilvl w:val="0"/>
          <w:numId w:val="101"/>
        </w:numPr>
        <w:spacing w:after="200" w:line="240" w:lineRule="auto"/>
        <w:rPr>
          <w:rFonts w:ascii="Times New Roman" w:hAnsi="Times New Roman"/>
          <w:szCs w:val="24"/>
        </w:rPr>
      </w:pPr>
      <w:r>
        <w:rPr>
          <w:rFonts w:ascii="Times New Roman" w:hAnsi="Times New Roman"/>
          <w:szCs w:val="24"/>
        </w:rPr>
        <w:t>The HIV and AIDS Prevention and Control Act, No. 14 of 2006</w:t>
      </w:r>
    </w:p>
    <w:p w14:paraId="6082ED0F">
      <w:pPr>
        <w:pStyle w:val="32"/>
        <w:numPr>
          <w:ilvl w:val="0"/>
          <w:numId w:val="101"/>
        </w:numPr>
        <w:spacing w:after="200" w:line="240" w:lineRule="auto"/>
        <w:rPr>
          <w:rFonts w:ascii="Times New Roman" w:hAnsi="Times New Roman"/>
          <w:szCs w:val="24"/>
        </w:rPr>
      </w:pPr>
      <w:r>
        <w:rPr>
          <w:rFonts w:ascii="Times New Roman" w:hAnsi="Times New Roman"/>
          <w:szCs w:val="24"/>
        </w:rPr>
        <w:t>The Sexual Offences Act, No. 3 of 2006</w:t>
      </w:r>
    </w:p>
    <w:p w14:paraId="19CD32BE">
      <w:pPr>
        <w:pStyle w:val="32"/>
        <w:numPr>
          <w:ilvl w:val="0"/>
          <w:numId w:val="101"/>
        </w:numPr>
        <w:spacing w:after="200" w:line="240" w:lineRule="auto"/>
        <w:rPr>
          <w:rFonts w:ascii="Times New Roman" w:hAnsi="Times New Roman"/>
          <w:szCs w:val="24"/>
        </w:rPr>
      </w:pPr>
      <w:r>
        <w:rPr>
          <w:rFonts w:ascii="Times New Roman" w:hAnsi="Times New Roman"/>
          <w:szCs w:val="24"/>
        </w:rPr>
        <w:t>The County Governments Act, No. 17 of 2012</w:t>
      </w:r>
    </w:p>
    <w:p w14:paraId="702051C7">
      <w:pPr>
        <w:pStyle w:val="32"/>
        <w:numPr>
          <w:ilvl w:val="0"/>
          <w:numId w:val="101"/>
        </w:numPr>
        <w:spacing w:after="200" w:line="240" w:lineRule="auto"/>
        <w:rPr>
          <w:rFonts w:ascii="Times New Roman" w:hAnsi="Times New Roman"/>
          <w:szCs w:val="24"/>
        </w:rPr>
      </w:pPr>
      <w:r>
        <w:rPr>
          <w:rFonts w:ascii="Times New Roman" w:hAnsi="Times New Roman"/>
          <w:szCs w:val="24"/>
        </w:rPr>
        <w:t>International Finance Corporation and World Bank Environmental, Health and Safety (EHS) Guidelines</w:t>
      </w:r>
    </w:p>
    <w:p w14:paraId="22EE2652">
      <w:pPr>
        <w:pStyle w:val="32"/>
        <w:numPr>
          <w:ilvl w:val="0"/>
          <w:numId w:val="101"/>
        </w:numPr>
        <w:spacing w:after="200" w:line="240" w:lineRule="auto"/>
        <w:rPr>
          <w:rFonts w:ascii="Times New Roman" w:hAnsi="Times New Roman"/>
          <w:szCs w:val="24"/>
        </w:rPr>
      </w:pPr>
      <w:r>
        <w:rPr>
          <w:rFonts w:ascii="Times New Roman" w:hAnsi="Times New Roman"/>
          <w:szCs w:val="24"/>
        </w:rPr>
        <w:t>World Bank Operational Policies</w:t>
      </w:r>
    </w:p>
    <w:p w14:paraId="2540E857">
      <w:pPr>
        <w:spacing w:after="200" w:line="240" w:lineRule="auto"/>
        <w:rPr>
          <w:rFonts w:ascii="Times New Roman" w:hAnsi="Times New Roman"/>
          <w:szCs w:val="24"/>
        </w:rPr>
      </w:pPr>
    </w:p>
    <w:p w14:paraId="461E0F32">
      <w:pPr>
        <w:spacing w:after="200" w:line="240" w:lineRule="auto"/>
        <w:rPr>
          <w:rFonts w:ascii="Times New Roman" w:hAnsi="Times New Roman"/>
          <w:szCs w:val="24"/>
        </w:rPr>
      </w:pPr>
    </w:p>
    <w:p w14:paraId="0A39D6D8">
      <w:pPr>
        <w:spacing w:after="200" w:line="240" w:lineRule="auto"/>
        <w:rPr>
          <w:rFonts w:ascii="Times New Roman" w:hAnsi="Times New Roman"/>
          <w:szCs w:val="24"/>
        </w:rPr>
      </w:pPr>
    </w:p>
    <w:p w14:paraId="67F3E299">
      <w:pPr>
        <w:spacing w:after="200" w:line="240" w:lineRule="auto"/>
        <w:rPr>
          <w:rFonts w:ascii="Times New Roman" w:hAnsi="Times New Roman"/>
          <w:szCs w:val="24"/>
        </w:rPr>
      </w:pPr>
    </w:p>
    <w:p w14:paraId="12490863">
      <w:pPr>
        <w:spacing w:after="200" w:line="240" w:lineRule="auto"/>
        <w:rPr>
          <w:rFonts w:ascii="Times New Roman" w:hAnsi="Times New Roman"/>
          <w:szCs w:val="24"/>
        </w:rPr>
      </w:pPr>
    </w:p>
    <w:p w14:paraId="16D37AA9">
      <w:pPr>
        <w:spacing w:after="200" w:line="240" w:lineRule="auto"/>
        <w:rPr>
          <w:rFonts w:ascii="Times New Roman" w:hAnsi="Times New Roman"/>
          <w:szCs w:val="24"/>
        </w:rPr>
      </w:pPr>
    </w:p>
    <w:p w14:paraId="4A155DD1">
      <w:pPr>
        <w:spacing w:after="200" w:line="240" w:lineRule="auto"/>
        <w:rPr>
          <w:rFonts w:ascii="Times New Roman" w:hAnsi="Times New Roman"/>
          <w:szCs w:val="24"/>
        </w:rPr>
      </w:pPr>
    </w:p>
    <w:p w14:paraId="30BCEC26">
      <w:pPr>
        <w:spacing w:after="200" w:line="240" w:lineRule="auto"/>
        <w:rPr>
          <w:rFonts w:ascii="Times New Roman" w:hAnsi="Times New Roman"/>
          <w:szCs w:val="24"/>
        </w:rPr>
      </w:pPr>
    </w:p>
    <w:p w14:paraId="5ABC43BF">
      <w:pPr>
        <w:spacing w:after="200" w:line="240" w:lineRule="auto"/>
        <w:rPr>
          <w:rFonts w:ascii="Times New Roman" w:hAnsi="Times New Roman"/>
          <w:szCs w:val="24"/>
        </w:rPr>
      </w:pPr>
    </w:p>
    <w:p w14:paraId="037FDD58">
      <w:pPr>
        <w:spacing w:after="200" w:line="240" w:lineRule="auto"/>
        <w:rPr>
          <w:rFonts w:ascii="Times New Roman" w:hAnsi="Times New Roman"/>
          <w:szCs w:val="24"/>
        </w:rPr>
      </w:pPr>
    </w:p>
    <w:p w14:paraId="5B5B1C1C">
      <w:pPr>
        <w:spacing w:after="200" w:line="240" w:lineRule="auto"/>
        <w:rPr>
          <w:rFonts w:ascii="Times New Roman" w:hAnsi="Times New Roman"/>
          <w:szCs w:val="24"/>
        </w:rPr>
      </w:pPr>
    </w:p>
    <w:p w14:paraId="51523F47">
      <w:pPr>
        <w:spacing w:after="200" w:line="240" w:lineRule="auto"/>
        <w:rPr>
          <w:rFonts w:ascii="Times New Roman" w:hAnsi="Times New Roman"/>
          <w:szCs w:val="24"/>
        </w:rPr>
      </w:pPr>
    </w:p>
    <w:p w14:paraId="5B527037">
      <w:pPr>
        <w:spacing w:after="200" w:line="240" w:lineRule="auto"/>
        <w:rPr>
          <w:rFonts w:ascii="Times New Roman" w:hAnsi="Times New Roman"/>
          <w:szCs w:val="24"/>
        </w:rPr>
      </w:pPr>
    </w:p>
    <w:p w14:paraId="04A7DDA1">
      <w:pPr>
        <w:spacing w:after="200" w:line="240" w:lineRule="auto"/>
        <w:rPr>
          <w:rFonts w:ascii="Times New Roman" w:hAnsi="Times New Roman"/>
          <w:szCs w:val="24"/>
        </w:rPr>
      </w:pPr>
    </w:p>
    <w:p w14:paraId="36EE0F54">
      <w:pPr>
        <w:spacing w:after="200" w:line="240" w:lineRule="auto"/>
        <w:rPr>
          <w:rFonts w:ascii="Times New Roman" w:hAnsi="Times New Roman"/>
          <w:szCs w:val="24"/>
        </w:rPr>
      </w:pPr>
    </w:p>
    <w:p w14:paraId="65CED8F0">
      <w:pPr>
        <w:spacing w:after="200" w:line="240" w:lineRule="auto"/>
        <w:rPr>
          <w:rFonts w:ascii="Times New Roman" w:hAnsi="Times New Roman"/>
          <w:szCs w:val="24"/>
        </w:rPr>
      </w:pPr>
    </w:p>
    <w:p w14:paraId="4B655DB5">
      <w:pPr>
        <w:spacing w:after="200" w:line="240" w:lineRule="auto"/>
        <w:rPr>
          <w:rFonts w:ascii="Times New Roman" w:hAnsi="Times New Roman"/>
          <w:szCs w:val="24"/>
        </w:rPr>
      </w:pPr>
    </w:p>
    <w:p w14:paraId="0AC8BF86">
      <w:pPr>
        <w:spacing w:after="200" w:line="240" w:lineRule="auto"/>
        <w:rPr>
          <w:rFonts w:ascii="Times New Roman" w:hAnsi="Times New Roman"/>
          <w:szCs w:val="24"/>
        </w:rPr>
      </w:pPr>
    </w:p>
    <w:p w14:paraId="52683831">
      <w:pPr>
        <w:spacing w:line="240" w:lineRule="auto"/>
        <w:rPr>
          <w:rFonts w:ascii="Times New Roman" w:hAnsi="Times New Roman"/>
          <w:bCs/>
          <w:szCs w:val="24"/>
        </w:rPr>
      </w:pPr>
      <w:bookmarkStart w:id="717" w:name="_Toc526624230"/>
      <w:r>
        <w:rPr>
          <w:rFonts w:ascii="Times New Roman" w:hAnsi="Times New Roman"/>
          <w:b/>
          <w:bCs/>
          <w:szCs w:val="24"/>
        </w:rPr>
        <w:t>APPENDIX A - CHANCE FIND PROCEDURES</w:t>
      </w:r>
      <w:bookmarkEnd w:id="717"/>
    </w:p>
    <w:p w14:paraId="034098B4">
      <w:pPr>
        <w:spacing w:line="240" w:lineRule="auto"/>
        <w:jc w:val="both"/>
        <w:rPr>
          <w:rFonts w:ascii="Times New Roman" w:hAnsi="Times New Roman"/>
          <w:szCs w:val="24"/>
        </w:rPr>
      </w:pPr>
      <w:r>
        <w:rPr>
          <w:rFonts w:ascii="Times New Roman" w:hAnsi="Times New Roman"/>
          <w:szCs w:val="24"/>
        </w:rPr>
        <w:t>Chance find procedures are an integral part of the project ESMP and civil works contracts. The following is proposed in this regard:</w:t>
      </w:r>
    </w:p>
    <w:p w14:paraId="602EF041">
      <w:pPr>
        <w:pStyle w:val="32"/>
        <w:numPr>
          <w:ilvl w:val="0"/>
          <w:numId w:val="102"/>
        </w:numPr>
        <w:spacing w:line="240" w:lineRule="auto"/>
        <w:jc w:val="both"/>
        <w:rPr>
          <w:rFonts w:ascii="Times New Roman" w:hAnsi="Times New Roman"/>
          <w:szCs w:val="24"/>
        </w:rPr>
      </w:pPr>
      <w:r>
        <w:rPr>
          <w:rFonts w:ascii="Times New Roman" w:hAnsi="Times New Roman"/>
          <w:szCs w:val="24"/>
        </w:rPr>
        <w:t>If the Contractor discovers archaeological sites, historical sites, remains and objects, including graveyards and/or individual graves during excavation or construction, the Contractor shall:</w:t>
      </w:r>
    </w:p>
    <w:p w14:paraId="03C3D6AB">
      <w:pPr>
        <w:pStyle w:val="32"/>
        <w:numPr>
          <w:ilvl w:val="0"/>
          <w:numId w:val="102"/>
        </w:numPr>
        <w:spacing w:line="240" w:lineRule="auto"/>
        <w:jc w:val="both"/>
        <w:rPr>
          <w:rFonts w:ascii="Times New Roman" w:hAnsi="Times New Roman"/>
          <w:szCs w:val="24"/>
        </w:rPr>
      </w:pPr>
      <w:r>
        <w:rPr>
          <w:rFonts w:ascii="Times New Roman" w:hAnsi="Times New Roman"/>
          <w:szCs w:val="24"/>
        </w:rPr>
        <w:t>Stop the construction activities in the chance find.</w:t>
      </w:r>
    </w:p>
    <w:p w14:paraId="0B0F1B91">
      <w:pPr>
        <w:pStyle w:val="32"/>
        <w:numPr>
          <w:ilvl w:val="0"/>
          <w:numId w:val="102"/>
        </w:numPr>
        <w:spacing w:line="240" w:lineRule="auto"/>
        <w:jc w:val="both"/>
        <w:rPr>
          <w:rFonts w:ascii="Times New Roman" w:hAnsi="Times New Roman"/>
          <w:szCs w:val="24"/>
        </w:rPr>
      </w:pPr>
      <w:r>
        <w:rPr>
          <w:rFonts w:ascii="Times New Roman" w:hAnsi="Times New Roman"/>
          <w:szCs w:val="24"/>
        </w:rPr>
        <w:t>Delineate the discovered site or area.</w:t>
      </w:r>
    </w:p>
    <w:p w14:paraId="5DA13B0D">
      <w:pPr>
        <w:pStyle w:val="32"/>
        <w:numPr>
          <w:ilvl w:val="0"/>
          <w:numId w:val="102"/>
        </w:numPr>
        <w:spacing w:line="240" w:lineRule="auto"/>
        <w:jc w:val="both"/>
        <w:rPr>
          <w:rFonts w:ascii="Times New Roman" w:hAnsi="Times New Roman"/>
          <w:szCs w:val="24"/>
        </w:rPr>
      </w:pPr>
      <w:r>
        <w:rPr>
          <w:rFonts w:ascii="Times New Roman" w:hAnsi="Times New Roman"/>
          <w:szCs w:val="24"/>
        </w:rPr>
        <w:t>Secure the site to prevent any damage or loss of removable objects. In cases of removable antiquities or sensitive remains, a night guard shall be arranged until the responsible local authorities, or the Ministry of State for National Heritage and Culture take over.</w:t>
      </w:r>
    </w:p>
    <w:p w14:paraId="0D635677">
      <w:pPr>
        <w:pStyle w:val="32"/>
        <w:numPr>
          <w:ilvl w:val="0"/>
          <w:numId w:val="102"/>
        </w:numPr>
        <w:spacing w:line="240" w:lineRule="auto"/>
        <w:jc w:val="both"/>
        <w:rPr>
          <w:rFonts w:ascii="Times New Roman" w:hAnsi="Times New Roman"/>
          <w:szCs w:val="24"/>
        </w:rPr>
      </w:pPr>
      <w:r>
        <w:rPr>
          <w:rFonts w:ascii="Times New Roman" w:hAnsi="Times New Roman"/>
          <w:szCs w:val="24"/>
        </w:rPr>
        <w:t>Notify the supervisor, Project Environmental Officer and Project Engineer who in turn will notify the responsible local authorities and the Ministry of State for National Heritage and Culture immediately (within 24 hours or less);</w:t>
      </w:r>
    </w:p>
    <w:p w14:paraId="36F8C68F">
      <w:pPr>
        <w:spacing w:line="240" w:lineRule="auto"/>
        <w:jc w:val="both"/>
        <w:rPr>
          <w:rFonts w:ascii="Times New Roman" w:hAnsi="Times New Roman"/>
          <w:szCs w:val="24"/>
        </w:rPr>
      </w:pPr>
      <w:r>
        <w:rPr>
          <w:rFonts w:ascii="Times New Roman" w:hAnsi="Times New Roman"/>
          <w:szCs w:val="24"/>
        </w:rPr>
        <w:t>Responsible local authorities and the Ministry of State for National Heritage and Culture would then oversee protecting and preserving the site before deciding on subsequent appropriate procedures. This would require a preliminary evaluation of the findings to be performed by the archaeologists of the National Museums of Kenya. The significance and importance of the findings should be assessed according to the various criteria relevant to cultural heritage, namely the aesthetic, historic, scientific or research, social and economic values.</w:t>
      </w:r>
    </w:p>
    <w:p w14:paraId="00E61FB0">
      <w:pPr>
        <w:spacing w:line="240" w:lineRule="auto"/>
        <w:jc w:val="both"/>
        <w:rPr>
          <w:rFonts w:ascii="Times New Roman" w:hAnsi="Times New Roman"/>
          <w:szCs w:val="24"/>
        </w:rPr>
      </w:pPr>
      <w:r>
        <w:rPr>
          <w:rFonts w:ascii="Times New Roman" w:hAnsi="Times New Roman"/>
          <w:szCs w:val="24"/>
        </w:rPr>
        <w:t>Decisions on how to handle the find shall be taken by the responsible authorities and the Ministry of State for National Heritage and Culture. This could include changes in the layout (such as when finding irremovable remains of cultural or archaeological importance) conservation, preservation, restoration and salvage.</w:t>
      </w:r>
    </w:p>
    <w:p w14:paraId="175A5E35">
      <w:pPr>
        <w:spacing w:line="240" w:lineRule="auto"/>
        <w:jc w:val="both"/>
        <w:rPr>
          <w:rFonts w:ascii="Times New Roman" w:hAnsi="Times New Roman"/>
          <w:szCs w:val="24"/>
        </w:rPr>
      </w:pPr>
      <w:r>
        <w:rPr>
          <w:rFonts w:ascii="Times New Roman" w:hAnsi="Times New Roman"/>
          <w:szCs w:val="24"/>
        </w:rPr>
        <w:t>Implementation for the authority decision concerning the management of the finding shall be communicated in writing by relevant local authorities.</w:t>
      </w:r>
    </w:p>
    <w:p w14:paraId="00DCE4BC">
      <w:pPr>
        <w:spacing w:line="240" w:lineRule="auto"/>
        <w:jc w:val="both"/>
        <w:rPr>
          <w:rFonts w:ascii="Times New Roman" w:hAnsi="Times New Roman"/>
          <w:szCs w:val="24"/>
        </w:rPr>
      </w:pPr>
      <w:r>
        <w:rPr>
          <w:rFonts w:ascii="Times New Roman" w:hAnsi="Times New Roman"/>
          <w:szCs w:val="24"/>
        </w:rPr>
        <w:t xml:space="preserve">Construction work may resume only after permission is given from the responsible local authorities or the Ministry of State for National Heritage and Culture concerning safeguard of the heritage  </w:t>
      </w:r>
    </w:p>
    <w:p w14:paraId="353FB83B">
      <w:pPr>
        <w:spacing w:line="240" w:lineRule="auto"/>
        <w:jc w:val="both"/>
        <w:rPr>
          <w:rFonts w:ascii="Times New Roman" w:hAnsi="Times New Roman"/>
          <w:szCs w:val="24"/>
        </w:rPr>
      </w:pPr>
    </w:p>
    <w:p w14:paraId="688B8CE8">
      <w:pPr>
        <w:spacing w:line="240" w:lineRule="auto"/>
        <w:jc w:val="both"/>
        <w:rPr>
          <w:rFonts w:ascii="Times New Roman" w:hAnsi="Times New Roman"/>
          <w:szCs w:val="24"/>
        </w:rPr>
      </w:pPr>
    </w:p>
    <w:p w14:paraId="4CA98955">
      <w:pPr>
        <w:spacing w:line="240" w:lineRule="auto"/>
        <w:jc w:val="both"/>
        <w:rPr>
          <w:rFonts w:ascii="Times New Roman" w:hAnsi="Times New Roman"/>
          <w:szCs w:val="24"/>
        </w:rPr>
      </w:pPr>
    </w:p>
    <w:p w14:paraId="1F064EAF">
      <w:pPr>
        <w:spacing w:line="240" w:lineRule="auto"/>
        <w:jc w:val="both"/>
        <w:rPr>
          <w:rFonts w:ascii="Times New Roman" w:hAnsi="Times New Roman"/>
          <w:szCs w:val="24"/>
        </w:rPr>
      </w:pPr>
    </w:p>
    <w:p w14:paraId="50054A05">
      <w:pPr>
        <w:spacing w:line="240" w:lineRule="auto"/>
        <w:jc w:val="both"/>
        <w:rPr>
          <w:rFonts w:ascii="Times New Roman" w:hAnsi="Times New Roman"/>
          <w:szCs w:val="24"/>
        </w:rPr>
      </w:pPr>
    </w:p>
    <w:p w14:paraId="75F56F5D">
      <w:pPr>
        <w:spacing w:line="240" w:lineRule="auto"/>
        <w:jc w:val="both"/>
        <w:rPr>
          <w:rFonts w:ascii="Times New Roman" w:hAnsi="Times New Roman"/>
          <w:szCs w:val="24"/>
        </w:rPr>
      </w:pPr>
    </w:p>
    <w:p w14:paraId="63BE42E9">
      <w:pPr>
        <w:spacing w:line="240" w:lineRule="auto"/>
        <w:jc w:val="both"/>
        <w:rPr>
          <w:rFonts w:ascii="Times New Roman" w:hAnsi="Times New Roman"/>
          <w:szCs w:val="24"/>
        </w:rPr>
      </w:pPr>
    </w:p>
    <w:p w14:paraId="1519D5DD">
      <w:pPr>
        <w:spacing w:line="240" w:lineRule="auto"/>
        <w:jc w:val="both"/>
        <w:rPr>
          <w:rFonts w:ascii="Times New Roman" w:hAnsi="Times New Roman"/>
          <w:szCs w:val="24"/>
        </w:rPr>
      </w:pPr>
    </w:p>
    <w:p w14:paraId="1B2E445F">
      <w:pPr>
        <w:spacing w:line="240" w:lineRule="auto"/>
        <w:jc w:val="both"/>
        <w:rPr>
          <w:rFonts w:ascii="Times New Roman" w:hAnsi="Times New Roman"/>
          <w:szCs w:val="24"/>
        </w:rPr>
      </w:pPr>
    </w:p>
    <w:p w14:paraId="5901B61E">
      <w:pPr>
        <w:spacing w:line="240" w:lineRule="auto"/>
        <w:jc w:val="both"/>
        <w:rPr>
          <w:rFonts w:ascii="Times New Roman" w:hAnsi="Times New Roman"/>
          <w:szCs w:val="24"/>
        </w:rPr>
      </w:pPr>
    </w:p>
    <w:p w14:paraId="31B49349">
      <w:pPr>
        <w:spacing w:line="240" w:lineRule="auto"/>
        <w:jc w:val="both"/>
        <w:rPr>
          <w:rFonts w:ascii="Times New Roman" w:hAnsi="Times New Roman"/>
          <w:szCs w:val="24"/>
        </w:rPr>
      </w:pPr>
    </w:p>
    <w:p w14:paraId="7783310E">
      <w:pPr>
        <w:spacing w:line="240" w:lineRule="auto"/>
        <w:jc w:val="both"/>
        <w:rPr>
          <w:rFonts w:ascii="Times New Roman" w:hAnsi="Times New Roman"/>
          <w:szCs w:val="24"/>
        </w:rPr>
      </w:pPr>
    </w:p>
    <w:p w14:paraId="7EFDE89C">
      <w:pPr>
        <w:spacing w:line="240" w:lineRule="auto"/>
        <w:jc w:val="both"/>
        <w:rPr>
          <w:rFonts w:ascii="Times New Roman" w:hAnsi="Times New Roman"/>
          <w:szCs w:val="24"/>
        </w:rPr>
      </w:pPr>
    </w:p>
    <w:p w14:paraId="6DD192B1">
      <w:pPr>
        <w:spacing w:line="240" w:lineRule="auto"/>
        <w:rPr>
          <w:rFonts w:ascii="Times New Roman" w:hAnsi="Times New Roman"/>
          <w:b/>
          <w:szCs w:val="24"/>
        </w:rPr>
      </w:pPr>
      <w:r>
        <w:rPr>
          <w:rFonts w:ascii="Times New Roman" w:hAnsi="Times New Roman"/>
          <w:b/>
          <w:szCs w:val="24"/>
          <w:lang w:val="en-US"/>
        </w:rPr>
        <w:t>APPENDIX B :- PUBLIC PARTICIPATION</w:t>
      </w:r>
    </w:p>
    <w:p w14:paraId="1BF59168">
      <w:pPr>
        <w:pStyle w:val="8"/>
        <w:spacing w:before="240" w:line="240" w:lineRule="auto"/>
        <w:rPr>
          <w:rFonts w:ascii="Times New Roman" w:hAnsi="Times New Roman" w:cs="Times New Roman"/>
          <w:b/>
          <w:bCs/>
          <w:color w:val="auto"/>
          <w:sz w:val="24"/>
          <w:szCs w:val="24"/>
          <w:u w:val="single"/>
        </w:rPr>
      </w:pPr>
      <w:r>
        <w:rPr>
          <w:rFonts w:ascii="Times New Roman" w:hAnsi="Times New Roman" w:cs="Times New Roman"/>
          <w:color w:val="auto"/>
          <w:sz w:val="24"/>
          <w:szCs w:val="24"/>
        </w:rPr>
        <w:drawing>
          <wp:anchor distT="0" distB="0" distL="114300" distR="114300" simplePos="0" relativeHeight="251673600" behindDoc="0" locked="0" layoutInCell="1" allowOverlap="1">
            <wp:simplePos x="0" y="0"/>
            <wp:positionH relativeFrom="page">
              <wp:posOffset>242570</wp:posOffset>
            </wp:positionH>
            <wp:positionV relativeFrom="paragraph">
              <wp:posOffset>126365</wp:posOffset>
            </wp:positionV>
            <wp:extent cx="7200900" cy="1204595"/>
            <wp:effectExtent l="0" t="0" r="0" b="14605"/>
            <wp:wrapNone/>
            <wp:docPr id="84" name="Picture 11" descr="C:\Users\DMN\Desktop\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1" descr="C:\Users\DMN\Desktop\lh.png"/>
                    <pic:cNvPicPr>
                      <a:picLocks noChangeAspect="1"/>
                    </pic:cNvPicPr>
                  </pic:nvPicPr>
                  <pic:blipFill>
                    <a:blip r:embed="rId57"/>
                    <a:stretch>
                      <a:fillRect/>
                    </a:stretch>
                  </pic:blipFill>
                  <pic:spPr>
                    <a:xfrm>
                      <a:off x="0" y="0"/>
                      <a:ext cx="7200900" cy="1204595"/>
                    </a:xfrm>
                    <a:prstGeom prst="rect">
                      <a:avLst/>
                    </a:prstGeom>
                    <a:noFill/>
                    <a:ln>
                      <a:noFill/>
                    </a:ln>
                  </pic:spPr>
                </pic:pic>
              </a:graphicData>
            </a:graphic>
          </wp:anchor>
        </w:drawing>
      </w:r>
    </w:p>
    <w:p w14:paraId="36D7F50F">
      <w:pPr>
        <w:spacing w:after="0" w:line="240" w:lineRule="auto"/>
        <w:jc w:val="center"/>
        <w:outlineLvl w:val="0"/>
        <w:rPr>
          <w:rFonts w:ascii="Times New Roman" w:hAnsi="Times New Roman"/>
          <w:b/>
          <w:szCs w:val="24"/>
          <w:u w:val="single"/>
          <w:lang w:eastAsia="de-DE"/>
        </w:rPr>
      </w:pPr>
    </w:p>
    <w:p w14:paraId="15E115B8">
      <w:pPr>
        <w:spacing w:after="0" w:line="240" w:lineRule="auto"/>
        <w:jc w:val="both"/>
        <w:rPr>
          <w:rFonts w:ascii="Times New Roman" w:hAnsi="Times New Roman"/>
          <w:b/>
          <w:bCs/>
          <w:szCs w:val="24"/>
        </w:rPr>
      </w:pPr>
    </w:p>
    <w:p w14:paraId="770B0271">
      <w:pPr>
        <w:spacing w:after="0" w:line="240" w:lineRule="auto"/>
        <w:jc w:val="both"/>
        <w:rPr>
          <w:rFonts w:ascii="Times New Roman" w:hAnsi="Times New Roman"/>
          <w:b/>
          <w:bCs/>
          <w:szCs w:val="24"/>
        </w:rPr>
      </w:pPr>
    </w:p>
    <w:p w14:paraId="7C6997A4">
      <w:pPr>
        <w:spacing w:line="240" w:lineRule="auto"/>
        <w:jc w:val="both"/>
        <w:rPr>
          <w:rFonts w:ascii="Times New Roman" w:hAnsi="Times New Roman"/>
          <w:szCs w:val="24"/>
        </w:rPr>
      </w:pPr>
      <w:r>
        <w:rPr>
          <w:rFonts w:ascii="Times New Roman" w:hAnsi="Times New Roman"/>
          <w:szCs w:val="24"/>
        </w:rPr>
        <w:t xml:space="preserve">                                                                                 </w:t>
      </w:r>
    </w:p>
    <w:p w14:paraId="79EB72AC">
      <w:pPr>
        <w:spacing w:line="240" w:lineRule="auto"/>
        <w:jc w:val="both"/>
        <w:rPr>
          <w:rFonts w:ascii="Times New Roman" w:hAnsi="Times New Roman"/>
          <w:szCs w:val="24"/>
        </w:rPr>
      </w:pPr>
    </w:p>
    <w:p w14:paraId="589B39AD">
      <w:pPr>
        <w:spacing w:line="240" w:lineRule="auto"/>
        <w:jc w:val="both"/>
        <w:rPr>
          <w:rFonts w:ascii="Times New Roman" w:hAnsi="Times New Roman"/>
          <w:b/>
          <w:bCs/>
          <w:szCs w:val="24"/>
          <w:u w:val="single"/>
        </w:rPr>
      </w:pPr>
      <w:r>
        <w:rPr>
          <w:rFonts w:ascii="Times New Roman" w:hAnsi="Times New Roman"/>
          <w:b/>
          <w:bCs/>
          <w:szCs w:val="24"/>
          <w:u w:val="single"/>
        </w:rPr>
        <w:t>MINUTES OF A MEETING HELD ON FRIDAY 5TH DECEMBER 2025 AT KIMAWASCO OFFICES AT 9.00AM IN KILIFI COUNTY, KILIFI NORTH SUB COUNTY.</w:t>
      </w:r>
    </w:p>
    <w:p w14:paraId="5600922A">
      <w:pPr>
        <w:spacing w:line="240" w:lineRule="auto"/>
        <w:jc w:val="both"/>
        <w:rPr>
          <w:rFonts w:ascii="Times New Roman" w:hAnsi="Times New Roman"/>
          <w:b/>
          <w:bCs/>
          <w:szCs w:val="24"/>
        </w:rPr>
      </w:pPr>
      <w:r>
        <w:rPr>
          <w:rFonts w:ascii="Times New Roman" w:hAnsi="Times New Roman"/>
          <w:b/>
          <w:bCs/>
          <w:szCs w:val="24"/>
        </w:rPr>
        <w:t>MEMBERS PRESENT:</w:t>
      </w:r>
    </w:p>
    <w:p w14:paraId="6EF439CF">
      <w:pPr>
        <w:spacing w:line="240" w:lineRule="auto"/>
        <w:jc w:val="both"/>
        <w:rPr>
          <w:rFonts w:ascii="Times New Roman" w:hAnsi="Times New Roman"/>
          <w:szCs w:val="24"/>
        </w:rPr>
      </w:pPr>
      <w:r>
        <w:rPr>
          <w:rFonts w:ascii="Times New Roman" w:hAnsi="Times New Roman"/>
          <w:i/>
          <w:iCs/>
          <w:szCs w:val="24"/>
        </w:rPr>
        <w:t>(See attached list)</w:t>
      </w:r>
    </w:p>
    <w:p w14:paraId="2A5AB143">
      <w:pPr>
        <w:spacing w:line="240" w:lineRule="auto"/>
        <w:jc w:val="both"/>
        <w:rPr>
          <w:rFonts w:ascii="Times New Roman" w:hAnsi="Times New Roman"/>
          <w:b/>
          <w:bCs/>
          <w:szCs w:val="24"/>
        </w:rPr>
      </w:pPr>
      <w:r>
        <w:rPr>
          <w:rFonts w:ascii="Times New Roman" w:hAnsi="Times New Roman"/>
          <w:b/>
          <w:bCs/>
          <w:szCs w:val="24"/>
        </w:rPr>
        <w:t>AGENDA</w:t>
      </w:r>
    </w:p>
    <w:p w14:paraId="744F22F1">
      <w:pPr>
        <w:spacing w:line="240" w:lineRule="auto"/>
        <w:jc w:val="both"/>
        <w:rPr>
          <w:rFonts w:ascii="Times New Roman" w:hAnsi="Times New Roman"/>
          <w:b/>
          <w:bCs/>
          <w:szCs w:val="24"/>
        </w:rPr>
      </w:pPr>
      <w:r>
        <w:rPr>
          <w:rFonts w:ascii="Times New Roman" w:hAnsi="Times New Roman"/>
          <w:b/>
          <w:bCs/>
          <w:szCs w:val="24"/>
        </w:rPr>
        <w:t>Minute 01/Prayer</w:t>
      </w:r>
    </w:p>
    <w:p w14:paraId="1AFC5BF5">
      <w:pPr>
        <w:spacing w:line="240" w:lineRule="auto"/>
        <w:jc w:val="both"/>
        <w:rPr>
          <w:rFonts w:ascii="Times New Roman" w:hAnsi="Times New Roman"/>
          <w:szCs w:val="24"/>
        </w:rPr>
      </w:pPr>
      <w:r>
        <w:rPr>
          <w:rFonts w:ascii="Times New Roman" w:hAnsi="Times New Roman"/>
          <w:szCs w:val="24"/>
        </w:rPr>
        <w:t xml:space="preserve">The meeting began with a word of prayer from one of the members of the staff/community/project affected persons. </w:t>
      </w:r>
    </w:p>
    <w:p w14:paraId="5E6088C3">
      <w:pPr>
        <w:spacing w:line="240" w:lineRule="auto"/>
        <w:jc w:val="both"/>
        <w:rPr>
          <w:rFonts w:ascii="Times New Roman" w:hAnsi="Times New Roman"/>
          <w:b/>
          <w:bCs/>
          <w:szCs w:val="24"/>
        </w:rPr>
      </w:pPr>
      <w:r>
        <w:rPr>
          <w:rFonts w:ascii="Times New Roman" w:hAnsi="Times New Roman"/>
          <w:b/>
          <w:bCs/>
          <w:szCs w:val="24"/>
        </w:rPr>
        <w:t>Minute 02/Official Opening Of Meeting</w:t>
      </w:r>
    </w:p>
    <w:p w14:paraId="386B9AF9">
      <w:pPr>
        <w:spacing w:line="240" w:lineRule="auto"/>
        <w:jc w:val="both"/>
        <w:rPr>
          <w:rFonts w:ascii="Times New Roman" w:hAnsi="Times New Roman"/>
          <w:szCs w:val="24"/>
        </w:rPr>
      </w:pPr>
      <w:r>
        <w:rPr>
          <w:rFonts w:ascii="Times New Roman" w:hAnsi="Times New Roman"/>
          <w:szCs w:val="24"/>
        </w:rPr>
        <w:t>Public participation is a key component of the Environmental and Social Impact Assessment (ESIA) process as outlined under the Environmental (Impact Assessment and Audit) Regulations, 2003. It ensures that stakeholders, including affected communities, local residents, and relevant authorities, have an opportunity to provide input regarding proposed projects and their potential environmental and social impacts.</w:t>
      </w:r>
    </w:p>
    <w:p w14:paraId="13251F25">
      <w:pPr>
        <w:spacing w:line="240" w:lineRule="auto"/>
        <w:jc w:val="both"/>
        <w:rPr>
          <w:rFonts w:ascii="Times New Roman" w:hAnsi="Times New Roman"/>
          <w:szCs w:val="24"/>
        </w:rPr>
      </w:pPr>
      <w:r>
        <w:rPr>
          <w:rFonts w:ascii="Times New Roman" w:hAnsi="Times New Roman"/>
          <w:szCs w:val="24"/>
        </w:rPr>
        <w:t>This report documents the public participation process undertaken for the proposed construction of an ablution block at KIMAWASCO Head Office.</w:t>
      </w:r>
    </w:p>
    <w:p w14:paraId="12289C5F">
      <w:pPr>
        <w:spacing w:line="240" w:lineRule="auto"/>
        <w:jc w:val="both"/>
        <w:rPr>
          <w:rFonts w:ascii="Times New Roman" w:hAnsi="Times New Roman"/>
          <w:szCs w:val="24"/>
        </w:rPr>
      </w:pPr>
      <w:r>
        <w:rPr>
          <w:rFonts w:ascii="Times New Roman" w:hAnsi="Times New Roman"/>
          <w:szCs w:val="24"/>
        </w:rPr>
        <w:t>The primary objective of the project is to improve sanitation facilities for both staff and visitors. This will enhance hygiene standards, reduce congestion in existing facilities, promote public health, and provide inclusive access for persons with disabilities and other marginalized groups. The design and layout of the ablution block are aimed at ensuring efficiency, durability, and ease of maintenance, while supporting KIMAWASCO’s mandate to provide safe and reliable water and sanitation services.</w:t>
      </w:r>
    </w:p>
    <w:p w14:paraId="3B039864">
      <w:pPr>
        <w:spacing w:line="240" w:lineRule="auto"/>
        <w:jc w:val="both"/>
        <w:rPr>
          <w:rFonts w:ascii="Times New Roman" w:hAnsi="Times New Roman"/>
          <w:szCs w:val="24"/>
        </w:rPr>
      </w:pPr>
      <w:r>
        <w:rPr>
          <w:rFonts w:ascii="Times New Roman" w:hAnsi="Times New Roman"/>
          <w:szCs w:val="24"/>
        </w:rPr>
        <w:t>The objectives of the public participation process were to:</w:t>
      </w:r>
    </w:p>
    <w:p w14:paraId="13FA10CB">
      <w:pPr>
        <w:numPr>
          <w:ilvl w:val="0"/>
          <w:numId w:val="103"/>
        </w:numPr>
        <w:spacing w:line="240" w:lineRule="auto"/>
        <w:jc w:val="both"/>
        <w:rPr>
          <w:rFonts w:ascii="Times New Roman" w:hAnsi="Times New Roman"/>
          <w:szCs w:val="24"/>
        </w:rPr>
      </w:pPr>
      <w:r>
        <w:rPr>
          <w:rFonts w:ascii="Times New Roman" w:hAnsi="Times New Roman"/>
          <w:szCs w:val="24"/>
        </w:rPr>
        <w:t>Inform stakeholders about the proposed project, its scope, and objectives.</w:t>
      </w:r>
    </w:p>
    <w:p w14:paraId="7B62F4C3">
      <w:pPr>
        <w:numPr>
          <w:ilvl w:val="0"/>
          <w:numId w:val="103"/>
        </w:numPr>
        <w:spacing w:line="240" w:lineRule="auto"/>
        <w:jc w:val="both"/>
        <w:rPr>
          <w:rFonts w:ascii="Times New Roman" w:hAnsi="Times New Roman"/>
          <w:szCs w:val="24"/>
        </w:rPr>
      </w:pPr>
      <w:r>
        <w:rPr>
          <w:rFonts w:ascii="Times New Roman" w:hAnsi="Times New Roman"/>
          <w:szCs w:val="24"/>
        </w:rPr>
        <w:t>Identify potential positive and negative environmental and social impacts of the project.</w:t>
      </w:r>
    </w:p>
    <w:p w14:paraId="1E54E5D0">
      <w:pPr>
        <w:numPr>
          <w:ilvl w:val="0"/>
          <w:numId w:val="103"/>
        </w:numPr>
        <w:spacing w:line="240" w:lineRule="auto"/>
        <w:jc w:val="both"/>
        <w:rPr>
          <w:rFonts w:ascii="Times New Roman" w:hAnsi="Times New Roman"/>
          <w:szCs w:val="24"/>
        </w:rPr>
      </w:pPr>
      <w:r>
        <w:rPr>
          <w:rFonts w:ascii="Times New Roman" w:hAnsi="Times New Roman"/>
          <w:szCs w:val="24"/>
        </w:rPr>
        <w:t>Gather stakeholder opinions, concerns, and recommendations.</w:t>
      </w:r>
    </w:p>
    <w:p w14:paraId="3A01118A">
      <w:pPr>
        <w:numPr>
          <w:ilvl w:val="0"/>
          <w:numId w:val="103"/>
        </w:numPr>
        <w:spacing w:line="240" w:lineRule="auto"/>
        <w:jc w:val="both"/>
        <w:rPr>
          <w:rFonts w:ascii="Times New Roman" w:hAnsi="Times New Roman"/>
          <w:szCs w:val="24"/>
        </w:rPr>
      </w:pPr>
      <w:r>
        <w:rPr>
          <w:rFonts w:ascii="Times New Roman" w:hAnsi="Times New Roman"/>
          <w:szCs w:val="24"/>
        </w:rPr>
        <w:t>Integrate stakeholder inputs into project planning and design.</w:t>
      </w:r>
    </w:p>
    <w:p w14:paraId="560A9EB8">
      <w:pPr>
        <w:spacing w:line="240" w:lineRule="auto"/>
        <w:jc w:val="both"/>
        <w:rPr>
          <w:rFonts w:ascii="Times New Roman" w:hAnsi="Times New Roman"/>
          <w:szCs w:val="24"/>
        </w:rPr>
      </w:pPr>
      <w:r>
        <w:rPr>
          <w:rFonts w:ascii="Times New Roman" w:hAnsi="Times New Roman"/>
          <w:szCs w:val="24"/>
        </w:rPr>
        <w:t xml:space="preserve"> The proposed project involves the construction of a modern ablution block within the KIMAWASCO Head Office premises. The facility will comprise:</w:t>
      </w:r>
    </w:p>
    <w:p w14:paraId="7077CC89">
      <w:pPr>
        <w:numPr>
          <w:ilvl w:val="0"/>
          <w:numId w:val="104"/>
        </w:numPr>
        <w:spacing w:line="240" w:lineRule="auto"/>
        <w:jc w:val="both"/>
        <w:rPr>
          <w:rFonts w:ascii="Times New Roman" w:hAnsi="Times New Roman"/>
          <w:szCs w:val="24"/>
        </w:rPr>
      </w:pPr>
      <w:r>
        <w:rPr>
          <w:rFonts w:ascii="Times New Roman" w:hAnsi="Times New Roman"/>
          <w:szCs w:val="24"/>
        </w:rPr>
        <w:t>8 toilets – 4 designated for male users and 4 for female users</w:t>
      </w:r>
    </w:p>
    <w:p w14:paraId="3EEE9FDA">
      <w:pPr>
        <w:numPr>
          <w:ilvl w:val="0"/>
          <w:numId w:val="104"/>
        </w:numPr>
        <w:spacing w:line="240" w:lineRule="auto"/>
        <w:jc w:val="both"/>
        <w:rPr>
          <w:rFonts w:ascii="Times New Roman" w:hAnsi="Times New Roman"/>
          <w:szCs w:val="24"/>
        </w:rPr>
      </w:pPr>
      <w:r>
        <w:rPr>
          <w:rFonts w:ascii="Times New Roman" w:hAnsi="Times New Roman"/>
          <w:szCs w:val="24"/>
        </w:rPr>
        <w:t>4 shower rooms – 2 for male users and 2 for female users</w:t>
      </w:r>
    </w:p>
    <w:p w14:paraId="6377403D">
      <w:pPr>
        <w:numPr>
          <w:ilvl w:val="0"/>
          <w:numId w:val="104"/>
        </w:numPr>
        <w:spacing w:line="240" w:lineRule="auto"/>
        <w:jc w:val="both"/>
        <w:rPr>
          <w:rFonts w:ascii="Times New Roman" w:hAnsi="Times New Roman"/>
          <w:szCs w:val="24"/>
        </w:rPr>
      </w:pPr>
      <w:r>
        <w:rPr>
          <w:rFonts w:ascii="Times New Roman" w:hAnsi="Times New Roman"/>
          <w:szCs w:val="24"/>
        </w:rPr>
        <w:t>1 store room – for cleaning and maintenance equipment</w:t>
      </w:r>
    </w:p>
    <w:p w14:paraId="70E86063">
      <w:pPr>
        <w:spacing w:line="240" w:lineRule="auto"/>
        <w:jc w:val="both"/>
        <w:rPr>
          <w:rFonts w:ascii="Times New Roman" w:hAnsi="Times New Roman"/>
          <w:szCs w:val="24"/>
        </w:rPr>
      </w:pPr>
      <w:r>
        <w:rPr>
          <w:rFonts w:ascii="Times New Roman" w:hAnsi="Times New Roman"/>
          <w:szCs w:val="24"/>
        </w:rPr>
        <w:t xml:space="preserve"> The Safeguards Officer chaired the meeting and congratulated members of the community, staff and personnel for turning up to the occasion. She asked everyone to introduce themselves by names so that members would be familiar with one another. She also asked members to open up and discuss issues they may have in regards to the proposed construction of ablution block.</w:t>
      </w:r>
    </w:p>
    <w:p w14:paraId="1DC6BC50">
      <w:pPr>
        <w:spacing w:line="240" w:lineRule="auto"/>
        <w:jc w:val="both"/>
        <w:rPr>
          <w:rFonts w:ascii="Times New Roman" w:hAnsi="Times New Roman"/>
          <w:b/>
          <w:bCs/>
          <w:szCs w:val="24"/>
        </w:rPr>
      </w:pPr>
      <w:r>
        <w:rPr>
          <w:rFonts w:ascii="Times New Roman" w:hAnsi="Times New Roman"/>
          <w:b/>
          <w:bCs/>
          <w:szCs w:val="24"/>
        </w:rPr>
        <w:t xml:space="preserve"> Minute O3/ Positive effects of the proposed construction</w:t>
      </w:r>
    </w:p>
    <w:p w14:paraId="6C3316C3">
      <w:pPr>
        <w:spacing w:line="240" w:lineRule="auto"/>
        <w:jc w:val="both"/>
        <w:rPr>
          <w:rFonts w:ascii="Times New Roman" w:hAnsi="Times New Roman"/>
          <w:szCs w:val="24"/>
        </w:rPr>
      </w:pPr>
      <w:r>
        <w:rPr>
          <w:rFonts w:ascii="Times New Roman" w:hAnsi="Times New Roman"/>
          <w:szCs w:val="24"/>
        </w:rPr>
        <w:t xml:space="preserve"> Some of the positive impacts aired included;</w:t>
      </w:r>
    </w:p>
    <w:p w14:paraId="7EFD1E89">
      <w:pPr>
        <w:pStyle w:val="17"/>
        <w:numPr>
          <w:ilvl w:val="0"/>
          <w:numId w:val="105"/>
        </w:numPr>
      </w:pPr>
      <w:r>
        <w:rPr>
          <w:rStyle w:val="18"/>
        </w:rPr>
        <w:t>Project Acceptance:</w:t>
      </w:r>
      <w:r>
        <w:t xml:space="preserve"> Stakeholders welcomed the construction of the ablution block as it addresses sanitation challenges and improves hygiene standards.</w:t>
      </w:r>
    </w:p>
    <w:p w14:paraId="4F897CF5">
      <w:pPr>
        <w:pStyle w:val="17"/>
        <w:numPr>
          <w:ilvl w:val="0"/>
          <w:numId w:val="105"/>
        </w:numPr>
      </w:pPr>
      <w:r>
        <w:rPr>
          <w:rStyle w:val="18"/>
        </w:rPr>
        <w:t>Employment Opportunities:</w:t>
      </w:r>
      <w:r>
        <w:t xml:space="preserve"> The project is expected to create jobs for local residents during construction and operation, with priority for non-technical roles.</w:t>
      </w:r>
    </w:p>
    <w:p w14:paraId="688BA156">
      <w:pPr>
        <w:pStyle w:val="17"/>
        <w:numPr>
          <w:ilvl w:val="0"/>
          <w:numId w:val="105"/>
        </w:numPr>
      </w:pPr>
      <w:r>
        <w:rPr>
          <w:rStyle w:val="18"/>
        </w:rPr>
        <w:t>Inclusion of Marginalized Groups:</w:t>
      </w:r>
      <w:r>
        <w:t xml:space="preserve"> The facility will provide accessible toilets for persons with disabilities, bridging existing gaps in inclusivity.</w:t>
      </w:r>
    </w:p>
    <w:p w14:paraId="4FB95461">
      <w:pPr>
        <w:pStyle w:val="17"/>
        <w:numPr>
          <w:ilvl w:val="0"/>
          <w:numId w:val="105"/>
        </w:numPr>
        <w:rPr>
          <w:b/>
          <w:bCs/>
        </w:rPr>
      </w:pPr>
      <w:r>
        <w:rPr>
          <w:rStyle w:val="18"/>
        </w:rPr>
        <w:t>Improved Sanitation and Hygiene:</w:t>
      </w:r>
      <w:r>
        <w:t xml:space="preserve"> The project will reduce congestion in existing facilities, enhance health outcomes, and improve the overall working and service environment.</w:t>
      </w:r>
    </w:p>
    <w:p w14:paraId="13E6FBE9">
      <w:pPr>
        <w:spacing w:line="240" w:lineRule="auto"/>
        <w:jc w:val="both"/>
        <w:rPr>
          <w:rFonts w:ascii="Times New Roman" w:hAnsi="Times New Roman"/>
          <w:szCs w:val="24"/>
        </w:rPr>
      </w:pPr>
      <w:r>
        <w:rPr>
          <w:rFonts w:ascii="Times New Roman" w:hAnsi="Times New Roman"/>
          <w:szCs w:val="24"/>
        </w:rPr>
        <w:t>1. The public was generally happy with the sanitation measures to be implemented in the project.  Most viewed the proposed measures positively, saying that the measures would make the great strides in improving problems in sanitation that are associated with untimely and irregular disposal of waste. That there is need for adequate sanitation facilities in the area.</w:t>
      </w:r>
    </w:p>
    <w:p w14:paraId="1F5AD7FD">
      <w:pPr>
        <w:numPr>
          <w:ilvl w:val="0"/>
          <w:numId w:val="106"/>
        </w:numPr>
        <w:spacing w:line="240" w:lineRule="auto"/>
        <w:jc w:val="both"/>
        <w:rPr>
          <w:rFonts w:ascii="Times New Roman" w:hAnsi="Times New Roman"/>
          <w:szCs w:val="24"/>
        </w:rPr>
      </w:pPr>
      <w:r>
        <w:rPr>
          <w:rFonts w:ascii="Times New Roman" w:hAnsi="Times New Roman"/>
          <w:szCs w:val="24"/>
        </w:rPr>
        <w:t>Work and employment for the locals</w:t>
      </w:r>
    </w:p>
    <w:p w14:paraId="7B1CBD2E">
      <w:pPr>
        <w:spacing w:line="240" w:lineRule="auto"/>
        <w:jc w:val="both"/>
        <w:rPr>
          <w:rFonts w:ascii="Times New Roman" w:hAnsi="Times New Roman"/>
          <w:szCs w:val="24"/>
        </w:rPr>
      </w:pPr>
      <w:r>
        <w:rPr>
          <w:rFonts w:ascii="Times New Roman" w:hAnsi="Times New Roman"/>
          <w:szCs w:val="24"/>
        </w:rPr>
        <w:t>The proposed project will present many employment opportunities both during construction and operation phases and the community members proposed that people from the households within the affected area and even staff should be given priority during recruitment, for extra hassle. It was made clear that non-technical work would be given to the locals as a way of empowering them as it will increase the income potential of the people within the project area.</w:t>
      </w:r>
    </w:p>
    <w:p w14:paraId="1892775D">
      <w:pPr>
        <w:spacing w:line="240" w:lineRule="auto"/>
        <w:jc w:val="both"/>
        <w:rPr>
          <w:rFonts w:ascii="Times New Roman" w:hAnsi="Times New Roman"/>
          <w:szCs w:val="24"/>
        </w:rPr>
      </w:pPr>
      <w:r>
        <w:rPr>
          <w:rFonts w:ascii="Times New Roman" w:hAnsi="Times New Roman"/>
          <w:szCs w:val="24"/>
        </w:rPr>
        <w:t xml:space="preserve">3. The residents were generally happy with the fact that this project support gender and marginalized group inclusion. Many had a cry that visitors sometimes come who need to use special toilets for easing themselves but the one currently available for use is not favourable to the marginalized. Therefore, this project will bridge the existing gap. </w:t>
      </w:r>
    </w:p>
    <w:p w14:paraId="45F9E2C2">
      <w:pPr>
        <w:spacing w:line="240" w:lineRule="auto"/>
        <w:jc w:val="both"/>
        <w:rPr>
          <w:rFonts w:ascii="Times New Roman" w:hAnsi="Times New Roman"/>
          <w:szCs w:val="24"/>
        </w:rPr>
      </w:pPr>
      <w:r>
        <w:rPr>
          <w:rFonts w:ascii="Times New Roman" w:hAnsi="Times New Roman"/>
          <w:szCs w:val="24"/>
        </w:rPr>
        <w:t>4. The majority of the respondents and stakeholders agreed in unison that there will be general improved sanitation, improvement in hygiene standards due to reduced congestion of the current available amenities. Life standards and human health will be upgraded as a result of better living and sanitary conditions.</w:t>
      </w:r>
    </w:p>
    <w:p w14:paraId="1E7CFA41">
      <w:pPr>
        <w:spacing w:line="240" w:lineRule="auto"/>
        <w:jc w:val="both"/>
        <w:rPr>
          <w:rFonts w:ascii="Times New Roman" w:hAnsi="Times New Roman"/>
          <w:szCs w:val="24"/>
        </w:rPr>
      </w:pPr>
    </w:p>
    <w:p w14:paraId="3B9957EB">
      <w:pPr>
        <w:spacing w:line="240" w:lineRule="auto"/>
        <w:jc w:val="both"/>
        <w:rPr>
          <w:rFonts w:ascii="Times New Roman" w:hAnsi="Times New Roman"/>
          <w:szCs w:val="24"/>
        </w:rPr>
      </w:pPr>
      <w:r>
        <w:rPr>
          <w:rFonts w:ascii="Times New Roman" w:hAnsi="Times New Roman"/>
          <w:b/>
          <w:bCs/>
          <w:szCs w:val="24"/>
        </w:rPr>
        <w:t>Minute O4/Negative Effects of the Construction</w:t>
      </w:r>
      <w:r>
        <w:rPr>
          <w:rFonts w:ascii="Times New Roman" w:hAnsi="Times New Roman"/>
          <w:szCs w:val="24"/>
        </w:rPr>
        <w:t xml:space="preserve"> </w:t>
      </w:r>
    </w:p>
    <w:p w14:paraId="04CEB714">
      <w:pPr>
        <w:spacing w:line="240" w:lineRule="auto"/>
        <w:jc w:val="both"/>
        <w:rPr>
          <w:rFonts w:ascii="Times New Roman" w:hAnsi="Times New Roman"/>
          <w:b/>
          <w:bCs/>
          <w:szCs w:val="24"/>
        </w:rPr>
      </w:pPr>
      <w:r>
        <w:rPr>
          <w:rFonts w:ascii="Times New Roman" w:hAnsi="Times New Roman"/>
          <w:b/>
          <w:bCs/>
          <w:szCs w:val="24"/>
        </w:rPr>
        <w:t>Challenges identified included;</w:t>
      </w:r>
    </w:p>
    <w:p w14:paraId="0952328A">
      <w:pPr>
        <w:spacing w:line="240" w:lineRule="auto"/>
        <w:jc w:val="both"/>
        <w:rPr>
          <w:rFonts w:ascii="Times New Roman" w:hAnsi="Times New Roman"/>
          <w:szCs w:val="24"/>
        </w:rPr>
      </w:pPr>
      <w:r>
        <w:rPr>
          <w:rFonts w:ascii="Times New Roman" w:hAnsi="Times New Roman"/>
          <w:szCs w:val="24"/>
        </w:rPr>
        <w:t>1. Availability of water</w:t>
      </w:r>
    </w:p>
    <w:p w14:paraId="31699B6B">
      <w:pPr>
        <w:spacing w:line="240" w:lineRule="auto"/>
        <w:jc w:val="both"/>
        <w:rPr>
          <w:rFonts w:ascii="Times New Roman" w:hAnsi="Times New Roman"/>
          <w:szCs w:val="24"/>
        </w:rPr>
      </w:pPr>
      <w:r>
        <w:rPr>
          <w:rFonts w:ascii="Times New Roman" w:hAnsi="Times New Roman"/>
          <w:szCs w:val="24"/>
        </w:rPr>
        <w:t>Concerns were raised that the water rationing would negatively impact the operation of the ablution blocks. Locals wanted assurance that once the blocks were completed, the water rationing they were currently experiencing would not affect the use of the ablution block.  KIMWASCO representatives informed the attendants to the meeting that the water problem was being resolved with adjustments to volume and retention capacity.</w:t>
      </w:r>
    </w:p>
    <w:p w14:paraId="3B7C360E">
      <w:pPr>
        <w:spacing w:line="240" w:lineRule="auto"/>
        <w:jc w:val="both"/>
        <w:rPr>
          <w:rFonts w:ascii="Times New Roman" w:hAnsi="Times New Roman"/>
          <w:szCs w:val="24"/>
        </w:rPr>
      </w:pPr>
      <w:r>
        <w:rPr>
          <w:rFonts w:ascii="Times New Roman" w:hAnsi="Times New Roman"/>
          <w:szCs w:val="24"/>
        </w:rPr>
        <w:t>2.The unsuitability of the English type toilets.</w:t>
      </w:r>
    </w:p>
    <w:p w14:paraId="27329D4A">
      <w:pPr>
        <w:spacing w:line="240" w:lineRule="auto"/>
        <w:jc w:val="both"/>
        <w:rPr>
          <w:rFonts w:ascii="Times New Roman" w:hAnsi="Times New Roman"/>
          <w:szCs w:val="24"/>
        </w:rPr>
      </w:pPr>
      <w:r>
        <w:rPr>
          <w:rFonts w:ascii="Times New Roman" w:hAnsi="Times New Roman"/>
          <w:szCs w:val="24"/>
        </w:rPr>
        <w:t xml:space="preserve">Locals attending the meeting informed the consultant that English type toilets would not be suitable for ablution blocks. This is because the large volume of people would make seat type toilets difficult to clean </w:t>
      </w:r>
    </w:p>
    <w:p w14:paraId="5BC8F06E">
      <w:pPr>
        <w:spacing w:line="240" w:lineRule="auto"/>
        <w:jc w:val="both"/>
        <w:rPr>
          <w:rFonts w:ascii="Times New Roman" w:hAnsi="Times New Roman"/>
          <w:b/>
          <w:bCs/>
          <w:szCs w:val="24"/>
        </w:rPr>
      </w:pPr>
      <w:r>
        <w:rPr>
          <w:rFonts w:ascii="Times New Roman" w:hAnsi="Times New Roman"/>
          <w:szCs w:val="24"/>
        </w:rPr>
        <w:drawing>
          <wp:inline distT="0" distB="0" distL="114300" distR="114300">
            <wp:extent cx="6483350" cy="9241790"/>
            <wp:effectExtent l="0" t="0" r="12700" b="16510"/>
            <wp:docPr id="114" name="Picture 114" descr="WhatsApp Image 2025-12-16 at 08.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WhatsApp Image 2025-12-16 at 08.39.56"/>
                    <pic:cNvPicPr>
                      <a:picLocks noChangeAspect="1"/>
                    </pic:cNvPicPr>
                  </pic:nvPicPr>
                  <pic:blipFill>
                    <a:blip r:embed="rId58"/>
                    <a:stretch>
                      <a:fillRect/>
                    </a:stretch>
                  </pic:blipFill>
                  <pic:spPr>
                    <a:xfrm>
                      <a:off x="0" y="0"/>
                      <a:ext cx="6483350" cy="9241790"/>
                    </a:xfrm>
                    <a:prstGeom prst="rect">
                      <a:avLst/>
                    </a:prstGeom>
                  </pic:spPr>
                </pic:pic>
              </a:graphicData>
            </a:graphic>
          </wp:inline>
        </w:drawing>
      </w:r>
    </w:p>
    <w:p w14:paraId="46BC8FEA">
      <w:pPr>
        <w:spacing w:after="0" w:line="240" w:lineRule="auto"/>
        <w:jc w:val="both"/>
        <w:rPr>
          <w:rFonts w:ascii="Times New Roman" w:hAnsi="Times New Roman"/>
          <w:b/>
          <w:bCs/>
          <w:szCs w:val="24"/>
        </w:rPr>
      </w:pPr>
    </w:p>
    <w:p w14:paraId="4AE9E9AF">
      <w:pPr>
        <w:spacing w:after="0" w:line="240" w:lineRule="auto"/>
        <w:jc w:val="both"/>
        <w:rPr>
          <w:rFonts w:ascii="Times New Roman" w:hAnsi="Times New Roman"/>
          <w:b/>
          <w:bCs/>
          <w:szCs w:val="24"/>
        </w:rPr>
      </w:pPr>
    </w:p>
    <w:p w14:paraId="0AB6CB13">
      <w:pPr>
        <w:spacing w:after="0" w:line="240" w:lineRule="auto"/>
        <w:jc w:val="both"/>
        <w:rPr>
          <w:rFonts w:ascii="Times New Roman" w:hAnsi="Times New Roman"/>
          <w:b/>
          <w:bCs/>
          <w:szCs w:val="24"/>
        </w:rPr>
      </w:pPr>
    </w:p>
    <w:p w14:paraId="21994BFB">
      <w:pPr>
        <w:spacing w:after="0" w:line="240" w:lineRule="auto"/>
        <w:jc w:val="both"/>
        <w:rPr>
          <w:rFonts w:ascii="Times New Roman" w:hAnsi="Times New Roman"/>
          <w:b/>
          <w:bCs/>
          <w:szCs w:val="24"/>
        </w:rPr>
      </w:pPr>
    </w:p>
    <w:p w14:paraId="110498E1">
      <w:pPr>
        <w:spacing w:after="0" w:line="240" w:lineRule="auto"/>
        <w:jc w:val="both"/>
        <w:rPr>
          <w:rFonts w:ascii="Times New Roman" w:hAnsi="Times New Roman"/>
          <w:b/>
          <w:bCs/>
          <w:szCs w:val="24"/>
        </w:rPr>
      </w:pPr>
      <w:r>
        <w:rPr>
          <w:rFonts w:ascii="Times New Roman" w:hAnsi="Times New Roman"/>
          <w:b/>
          <w:bCs/>
          <w:szCs w:val="24"/>
        </w:rPr>
        <w:t>ATTENDANCE LIST</w:t>
      </w:r>
    </w:p>
    <w:p w14:paraId="7869A828">
      <w:pPr>
        <w:spacing w:after="0" w:line="240" w:lineRule="auto"/>
        <w:jc w:val="both"/>
        <w:rPr>
          <w:rFonts w:ascii="Times New Roman" w:hAnsi="Times New Roman"/>
          <w:b/>
          <w:bCs/>
          <w:szCs w:val="24"/>
        </w:rPr>
      </w:pPr>
    </w:p>
    <w:p w14:paraId="0864FE1F">
      <w:pPr>
        <w:spacing w:after="0" w:line="240" w:lineRule="auto"/>
        <w:jc w:val="both"/>
        <w:rPr>
          <w:rFonts w:ascii="Times New Roman" w:hAnsi="Times New Roman"/>
          <w:b/>
          <w:bCs/>
          <w:szCs w:val="24"/>
        </w:rPr>
      </w:pPr>
      <w:r>
        <w:rPr>
          <w:rFonts w:ascii="Times New Roman" w:hAnsi="Times New Roman"/>
          <w:b/>
          <w:bCs/>
          <w:szCs w:val="24"/>
        </w:rPr>
        <w:drawing>
          <wp:inline distT="0" distB="0" distL="114300" distR="114300">
            <wp:extent cx="6064250" cy="7158990"/>
            <wp:effectExtent l="0" t="0" r="12700" b="3810"/>
            <wp:docPr id="85" name="Picture 32" descr="WhatsApp Image 2025-12-11 at 01.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2" descr="WhatsApp Image 2025-12-11 at 01.56.49"/>
                    <pic:cNvPicPr>
                      <a:picLocks noChangeAspect="1"/>
                    </pic:cNvPicPr>
                  </pic:nvPicPr>
                  <pic:blipFill>
                    <a:blip r:embed="rId59"/>
                    <a:stretch>
                      <a:fillRect/>
                    </a:stretch>
                  </pic:blipFill>
                  <pic:spPr>
                    <a:xfrm>
                      <a:off x="0" y="0"/>
                      <a:ext cx="6064250" cy="7158990"/>
                    </a:xfrm>
                    <a:prstGeom prst="rect">
                      <a:avLst/>
                    </a:prstGeom>
                    <a:noFill/>
                    <a:ln>
                      <a:noFill/>
                    </a:ln>
                  </pic:spPr>
                </pic:pic>
              </a:graphicData>
            </a:graphic>
          </wp:inline>
        </w:drawing>
      </w:r>
    </w:p>
    <w:p w14:paraId="25759AD8">
      <w:pPr>
        <w:spacing w:after="0" w:line="240" w:lineRule="auto"/>
        <w:jc w:val="both"/>
        <w:rPr>
          <w:rFonts w:ascii="Times New Roman" w:hAnsi="Times New Roman"/>
          <w:b/>
          <w:bCs/>
          <w:szCs w:val="24"/>
        </w:rPr>
      </w:pPr>
    </w:p>
    <w:p w14:paraId="2BC2110F">
      <w:pPr>
        <w:spacing w:line="240" w:lineRule="auto"/>
        <w:jc w:val="both"/>
        <w:rPr>
          <w:rFonts w:ascii="Times New Roman" w:hAnsi="Times New Roman"/>
          <w:b/>
          <w:bCs/>
          <w:szCs w:val="24"/>
          <w:lang w:val="en-US"/>
        </w:rPr>
      </w:pPr>
    </w:p>
    <w:p w14:paraId="4F1535F4">
      <w:pPr>
        <w:spacing w:line="240" w:lineRule="auto"/>
        <w:jc w:val="both"/>
        <w:rPr>
          <w:rFonts w:ascii="Times New Roman" w:hAnsi="Times New Roman"/>
          <w:b/>
          <w:bCs/>
          <w:szCs w:val="24"/>
          <w:lang w:val="en-US"/>
        </w:rPr>
      </w:pPr>
    </w:p>
    <w:p w14:paraId="7BC3B2BF">
      <w:pPr>
        <w:spacing w:after="0" w:line="240" w:lineRule="auto"/>
        <w:jc w:val="both"/>
        <w:rPr>
          <w:rFonts w:ascii="Times New Roman" w:hAnsi="Times New Roman"/>
          <w:b/>
          <w:bCs/>
          <w:szCs w:val="24"/>
        </w:rPr>
      </w:pPr>
      <w:r>
        <w:rPr>
          <w:rFonts w:ascii="Times New Roman" w:hAnsi="Times New Roman"/>
          <w:b/>
          <w:bCs/>
          <w:szCs w:val="24"/>
        </w:rPr>
        <w:t xml:space="preserve">CONSULTATION PHOTOS </w:t>
      </w:r>
    </w:p>
    <w:p w14:paraId="1DAD32D0">
      <w:pPr>
        <w:spacing w:after="0" w:line="240" w:lineRule="auto"/>
        <w:jc w:val="both"/>
        <w:rPr>
          <w:rFonts w:ascii="Times New Roman" w:hAnsi="Times New Roman"/>
          <w:b/>
          <w:bCs/>
          <w:szCs w:val="24"/>
        </w:rPr>
      </w:pPr>
    </w:p>
    <w:tbl>
      <w:tblPr>
        <w:tblStyle w:val="20"/>
        <w:tblW w:w="9439" w:type="dxa"/>
        <w:tblInd w:w="4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9"/>
        <w:gridCol w:w="4570"/>
      </w:tblGrid>
      <w:tr w14:paraId="0B29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869" w:type="dxa"/>
          </w:tcPr>
          <w:p w14:paraId="18831EEC">
            <w:pPr>
              <w:spacing w:after="0" w:line="240" w:lineRule="auto"/>
              <w:jc w:val="both"/>
              <w:rPr>
                <w:rFonts w:ascii="Times New Roman" w:hAnsi="Times New Roman"/>
                <w:b/>
                <w:bCs/>
                <w:sz w:val="20"/>
                <w:szCs w:val="24"/>
              </w:rPr>
            </w:pPr>
            <w:r>
              <w:rPr>
                <w:rFonts w:ascii="Times New Roman" w:hAnsi="Times New Roman"/>
                <w:b/>
                <w:bCs/>
                <w:sz w:val="20"/>
                <w:szCs w:val="24"/>
              </w:rPr>
              <w:drawing>
                <wp:inline distT="0" distB="0" distL="114300" distR="114300">
                  <wp:extent cx="2618740" cy="2798445"/>
                  <wp:effectExtent l="0" t="0" r="10160" b="1905"/>
                  <wp:docPr id="1004640063" name="Picture 44" descr="WhatsApp Image 2025-12-10 at 19.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40063" name="Picture 44" descr="WhatsApp Image 2025-12-10 at 19.43.08"/>
                          <pic:cNvPicPr>
                            <a:picLocks noChangeAspect="1"/>
                          </pic:cNvPicPr>
                        </pic:nvPicPr>
                        <pic:blipFill>
                          <a:blip r:embed="rId60"/>
                          <a:stretch>
                            <a:fillRect/>
                          </a:stretch>
                        </pic:blipFill>
                        <pic:spPr>
                          <a:xfrm>
                            <a:off x="0" y="0"/>
                            <a:ext cx="2618740" cy="2798445"/>
                          </a:xfrm>
                          <a:prstGeom prst="rect">
                            <a:avLst/>
                          </a:prstGeom>
                          <a:noFill/>
                          <a:ln>
                            <a:noFill/>
                          </a:ln>
                        </pic:spPr>
                      </pic:pic>
                    </a:graphicData>
                  </a:graphic>
                </wp:inline>
              </w:drawing>
            </w:r>
          </w:p>
        </w:tc>
        <w:tc>
          <w:tcPr>
            <w:tcW w:w="4570" w:type="dxa"/>
          </w:tcPr>
          <w:p w14:paraId="7945F08A">
            <w:pPr>
              <w:spacing w:after="0" w:line="240" w:lineRule="auto"/>
              <w:jc w:val="both"/>
              <w:rPr>
                <w:rFonts w:ascii="Times New Roman" w:hAnsi="Times New Roman"/>
                <w:b/>
                <w:bCs/>
                <w:sz w:val="20"/>
                <w:szCs w:val="24"/>
              </w:rPr>
            </w:pPr>
            <w:r>
              <w:rPr>
                <w:rFonts w:ascii="Times New Roman" w:hAnsi="Times New Roman"/>
                <w:b/>
                <w:bCs/>
                <w:sz w:val="20"/>
                <w:szCs w:val="24"/>
              </w:rPr>
              <w:drawing>
                <wp:inline distT="0" distB="0" distL="114300" distR="114300">
                  <wp:extent cx="2523490" cy="2846705"/>
                  <wp:effectExtent l="0" t="0" r="10160" b="10795"/>
                  <wp:docPr id="1583263628" name="Picture 45" descr="WhatsApp Image 2025-12-10 at 19.4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63628" name="Picture 45" descr="WhatsApp Image 2025-12-10 at 19.43.08(2)"/>
                          <pic:cNvPicPr>
                            <a:picLocks noChangeAspect="1"/>
                          </pic:cNvPicPr>
                        </pic:nvPicPr>
                        <pic:blipFill>
                          <a:blip r:embed="rId61"/>
                          <a:stretch>
                            <a:fillRect/>
                          </a:stretch>
                        </pic:blipFill>
                        <pic:spPr>
                          <a:xfrm>
                            <a:off x="0" y="0"/>
                            <a:ext cx="2523490" cy="2846705"/>
                          </a:xfrm>
                          <a:prstGeom prst="rect">
                            <a:avLst/>
                          </a:prstGeom>
                          <a:noFill/>
                          <a:ln>
                            <a:noFill/>
                          </a:ln>
                        </pic:spPr>
                      </pic:pic>
                    </a:graphicData>
                  </a:graphic>
                </wp:inline>
              </w:drawing>
            </w:r>
          </w:p>
        </w:tc>
      </w:tr>
      <w:tr w14:paraId="7B05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869" w:type="dxa"/>
          </w:tcPr>
          <w:p w14:paraId="5E15B414">
            <w:pPr>
              <w:spacing w:after="0" w:line="240" w:lineRule="auto"/>
              <w:jc w:val="both"/>
              <w:rPr>
                <w:rFonts w:ascii="Times New Roman" w:hAnsi="Times New Roman"/>
                <w:b/>
                <w:bCs/>
                <w:sz w:val="20"/>
                <w:szCs w:val="24"/>
              </w:rPr>
            </w:pPr>
            <w:r>
              <w:rPr>
                <w:rFonts w:ascii="Times New Roman" w:hAnsi="Times New Roman"/>
                <w:b/>
                <w:bCs/>
                <w:sz w:val="20"/>
                <w:szCs w:val="24"/>
              </w:rPr>
              <w:t xml:space="preserve">KIMAWASCO staff filing in the project questionnaire </w:t>
            </w:r>
          </w:p>
        </w:tc>
        <w:tc>
          <w:tcPr>
            <w:tcW w:w="4570" w:type="dxa"/>
          </w:tcPr>
          <w:p w14:paraId="01AA3D7C">
            <w:pPr>
              <w:spacing w:after="0" w:line="240" w:lineRule="auto"/>
              <w:jc w:val="both"/>
              <w:rPr>
                <w:rFonts w:ascii="Times New Roman" w:hAnsi="Times New Roman"/>
                <w:b/>
                <w:bCs/>
                <w:sz w:val="20"/>
                <w:szCs w:val="24"/>
              </w:rPr>
            </w:pPr>
            <w:r>
              <w:rPr>
                <w:rFonts w:ascii="Times New Roman" w:hAnsi="Times New Roman"/>
                <w:b/>
                <w:bCs/>
                <w:sz w:val="20"/>
                <w:szCs w:val="24"/>
              </w:rPr>
              <w:t xml:space="preserve">KIMAWASCO staff filing in the project questionnaire </w:t>
            </w:r>
          </w:p>
        </w:tc>
      </w:tr>
      <w:tr w14:paraId="108B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869" w:type="dxa"/>
          </w:tcPr>
          <w:p w14:paraId="19208788">
            <w:pPr>
              <w:spacing w:after="0" w:line="240" w:lineRule="auto"/>
              <w:jc w:val="both"/>
              <w:rPr>
                <w:rFonts w:ascii="Times New Roman" w:hAnsi="Times New Roman"/>
                <w:b/>
                <w:bCs/>
                <w:sz w:val="20"/>
                <w:szCs w:val="24"/>
              </w:rPr>
            </w:pPr>
          </w:p>
          <w:p w14:paraId="0FFC21AF">
            <w:pPr>
              <w:spacing w:after="0" w:line="240" w:lineRule="auto"/>
              <w:jc w:val="both"/>
              <w:rPr>
                <w:rFonts w:ascii="Times New Roman" w:hAnsi="Times New Roman"/>
                <w:b/>
                <w:bCs/>
                <w:sz w:val="20"/>
                <w:szCs w:val="24"/>
              </w:rPr>
            </w:pPr>
            <w:r>
              <w:rPr>
                <w:rFonts w:ascii="Times New Roman" w:hAnsi="Times New Roman"/>
                <w:b/>
                <w:bCs/>
                <w:sz w:val="20"/>
                <w:szCs w:val="24"/>
              </w:rPr>
              <w:drawing>
                <wp:inline distT="0" distB="0" distL="114300" distR="114300">
                  <wp:extent cx="3161665" cy="2436495"/>
                  <wp:effectExtent l="0" t="0" r="635" b="1905"/>
                  <wp:docPr id="2047911583" name="Picture 46" descr="WhatsApp Image 2025-12-10 at 18.4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11583" name="Picture 46" descr="WhatsApp Image 2025-12-10 at 18.42.26(2)"/>
                          <pic:cNvPicPr>
                            <a:picLocks noChangeAspect="1"/>
                          </pic:cNvPicPr>
                        </pic:nvPicPr>
                        <pic:blipFill>
                          <a:blip r:embed="rId62"/>
                          <a:stretch>
                            <a:fillRect/>
                          </a:stretch>
                        </pic:blipFill>
                        <pic:spPr>
                          <a:xfrm>
                            <a:off x="0" y="0"/>
                            <a:ext cx="3161665" cy="2436495"/>
                          </a:xfrm>
                          <a:prstGeom prst="rect">
                            <a:avLst/>
                          </a:prstGeom>
                          <a:noFill/>
                          <a:ln>
                            <a:noFill/>
                          </a:ln>
                        </pic:spPr>
                      </pic:pic>
                    </a:graphicData>
                  </a:graphic>
                </wp:inline>
              </w:drawing>
            </w:r>
          </w:p>
        </w:tc>
        <w:tc>
          <w:tcPr>
            <w:tcW w:w="4570" w:type="dxa"/>
          </w:tcPr>
          <w:p w14:paraId="56A4EFAB">
            <w:pPr>
              <w:spacing w:after="0" w:line="240" w:lineRule="auto"/>
              <w:jc w:val="both"/>
              <w:rPr>
                <w:rFonts w:ascii="Times New Roman" w:hAnsi="Times New Roman"/>
                <w:b/>
                <w:bCs/>
                <w:sz w:val="20"/>
                <w:szCs w:val="24"/>
              </w:rPr>
            </w:pPr>
            <w:r>
              <w:rPr>
                <w:rFonts w:ascii="Times New Roman" w:hAnsi="Times New Roman"/>
                <w:sz w:val="20"/>
                <w:szCs w:val="24"/>
              </w:rPr>
              <mc:AlternateContent>
                <mc:Choice Requires="wps">
                  <w:drawing>
                    <wp:inline distT="0" distB="0" distL="114300" distR="114300">
                      <wp:extent cx="304800" cy="304800"/>
                      <wp:effectExtent l="0" t="0" r="0" b="0"/>
                      <wp:docPr id="1604869748" name="Rectangles 61" descr="blob:https://web.whatsapp.com/c18a2aa0-6cca-4b63-b8d5-e99134071cd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Rectangles 61" o:spid="_x0000_s1026" o:spt="1" alt="blob:https://web.whatsapp.com/c18a2aa0-6cca-4b63-b8d5-e99134071cd3"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fMlnTSAAAAAwEAAA8AAAAAAAAAAQAgAAAAIgAAAGRycy9k&#10;b3ducmV2LnhtbFBLAQIUABQAAAAIAIdO4kCA78lnQQIAAHYEAAAOAAAAAAAAAAEAIAAAACEBAABk&#10;cnMvZTJvRG9jLnhtbFBLBQYAAAAABgAGAFkBAADUBQAAAAA=&#10;">
                      <v:fill on="f" focussize="0,0"/>
                      <v:stroke on="f"/>
                      <v:imagedata o:title=""/>
                      <o:lock v:ext="edit" aspectratio="t"/>
                      <w10:wrap type="none"/>
                      <w10:anchorlock/>
                    </v:rect>
                  </w:pict>
                </mc:Fallback>
              </mc:AlternateContent>
            </w:r>
            <w:r>
              <w:rPr>
                <w:rFonts w:ascii="Times New Roman" w:hAnsi="Times New Roman"/>
                <w:b/>
                <w:bCs/>
                <w:sz w:val="20"/>
                <w:szCs w:val="24"/>
              </w:rPr>
              <w:drawing>
                <wp:inline distT="0" distB="0" distL="114300" distR="114300">
                  <wp:extent cx="2446020" cy="2715260"/>
                  <wp:effectExtent l="0" t="0" r="11430" b="8890"/>
                  <wp:docPr id="1861534913" name="Picture 47" descr="WhatsApp Image 2025-12-10 at 19.4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34913" name="Picture 47" descr="WhatsApp Image 2025-12-10 at 19.43.08(1)"/>
                          <pic:cNvPicPr>
                            <a:picLocks noChangeAspect="1"/>
                          </pic:cNvPicPr>
                        </pic:nvPicPr>
                        <pic:blipFill>
                          <a:blip r:embed="rId63"/>
                          <a:stretch>
                            <a:fillRect/>
                          </a:stretch>
                        </pic:blipFill>
                        <pic:spPr>
                          <a:xfrm>
                            <a:off x="0" y="0"/>
                            <a:ext cx="2446020" cy="2715260"/>
                          </a:xfrm>
                          <a:prstGeom prst="rect">
                            <a:avLst/>
                          </a:prstGeom>
                          <a:noFill/>
                          <a:ln>
                            <a:noFill/>
                          </a:ln>
                        </pic:spPr>
                      </pic:pic>
                    </a:graphicData>
                  </a:graphic>
                </wp:inline>
              </w:drawing>
            </w:r>
          </w:p>
        </w:tc>
      </w:tr>
      <w:tr w14:paraId="2861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869" w:type="dxa"/>
          </w:tcPr>
          <w:p w14:paraId="4D6FEFE1">
            <w:pPr>
              <w:spacing w:after="0" w:line="240" w:lineRule="auto"/>
              <w:jc w:val="both"/>
              <w:rPr>
                <w:rFonts w:ascii="Times New Roman" w:hAnsi="Times New Roman"/>
                <w:b/>
                <w:bCs/>
                <w:sz w:val="20"/>
                <w:szCs w:val="24"/>
              </w:rPr>
            </w:pPr>
            <w:r>
              <w:rPr>
                <w:rFonts w:ascii="Times New Roman" w:hAnsi="Times New Roman"/>
                <w:b/>
                <w:bCs/>
                <w:sz w:val="20"/>
                <w:szCs w:val="24"/>
              </w:rPr>
              <w:t>Meeting with neighbouring community for sensitization</w:t>
            </w:r>
          </w:p>
        </w:tc>
        <w:tc>
          <w:tcPr>
            <w:tcW w:w="4570" w:type="dxa"/>
          </w:tcPr>
          <w:p w14:paraId="5A52750F">
            <w:pPr>
              <w:spacing w:after="0" w:line="240" w:lineRule="auto"/>
              <w:jc w:val="both"/>
              <w:rPr>
                <w:rFonts w:ascii="Times New Roman" w:hAnsi="Times New Roman"/>
                <w:b/>
                <w:bCs/>
                <w:sz w:val="20"/>
                <w:szCs w:val="24"/>
              </w:rPr>
            </w:pPr>
            <w:r>
              <w:rPr>
                <w:rFonts w:ascii="Times New Roman" w:hAnsi="Times New Roman"/>
                <w:b/>
                <w:bCs/>
                <w:sz w:val="20"/>
                <w:szCs w:val="24"/>
              </w:rPr>
              <w:t xml:space="preserve">KIMAWASCO staff filing in the project questionnaire </w:t>
            </w:r>
          </w:p>
        </w:tc>
      </w:tr>
      <w:tr w14:paraId="72C9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869" w:type="dxa"/>
          </w:tcPr>
          <w:p w14:paraId="47B5C906">
            <w:pPr>
              <w:spacing w:after="0" w:line="240" w:lineRule="auto"/>
              <w:jc w:val="both"/>
              <w:rPr>
                <w:rFonts w:ascii="Times New Roman" w:hAnsi="Times New Roman"/>
                <w:b/>
                <w:bCs/>
                <w:sz w:val="20"/>
                <w:szCs w:val="24"/>
              </w:rPr>
            </w:pPr>
            <w:r>
              <w:rPr>
                <w:rFonts w:ascii="Times New Roman" w:hAnsi="Times New Roman"/>
                <w:b/>
                <w:bCs/>
                <w:sz w:val="20"/>
                <w:szCs w:val="24"/>
              </w:rPr>
              <w:drawing>
                <wp:inline distT="0" distB="0" distL="114300" distR="114300">
                  <wp:extent cx="2358390" cy="2077720"/>
                  <wp:effectExtent l="0" t="0" r="3810" b="17780"/>
                  <wp:docPr id="1638777119" name="Picture 48" descr="WhatsApp Image 2025-12-10 at 19.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77119" name="Picture 48" descr="WhatsApp Image 2025-12-10 at 19.43.09"/>
                          <pic:cNvPicPr>
                            <a:picLocks noChangeAspect="1"/>
                          </pic:cNvPicPr>
                        </pic:nvPicPr>
                        <pic:blipFill>
                          <a:blip r:embed="rId64"/>
                          <a:stretch>
                            <a:fillRect/>
                          </a:stretch>
                        </pic:blipFill>
                        <pic:spPr>
                          <a:xfrm>
                            <a:off x="0" y="0"/>
                            <a:ext cx="2358390" cy="2077720"/>
                          </a:xfrm>
                          <a:prstGeom prst="rect">
                            <a:avLst/>
                          </a:prstGeom>
                          <a:noFill/>
                          <a:ln>
                            <a:noFill/>
                          </a:ln>
                        </pic:spPr>
                      </pic:pic>
                    </a:graphicData>
                  </a:graphic>
                </wp:inline>
              </w:drawing>
            </w:r>
          </w:p>
        </w:tc>
        <w:tc>
          <w:tcPr>
            <w:tcW w:w="4570" w:type="dxa"/>
          </w:tcPr>
          <w:p w14:paraId="23EDBF1A">
            <w:pPr>
              <w:spacing w:after="0" w:line="240" w:lineRule="auto"/>
              <w:jc w:val="both"/>
              <w:rPr>
                <w:rFonts w:ascii="Times New Roman" w:hAnsi="Times New Roman"/>
                <w:b/>
                <w:bCs/>
                <w:sz w:val="20"/>
                <w:szCs w:val="24"/>
              </w:rPr>
            </w:pPr>
            <w:r>
              <w:rPr>
                <w:rFonts w:ascii="Times New Roman" w:hAnsi="Times New Roman"/>
                <w:b/>
                <w:bCs/>
                <w:sz w:val="20"/>
                <w:szCs w:val="24"/>
              </w:rPr>
              <w:drawing>
                <wp:inline distT="0" distB="0" distL="114300" distR="114300">
                  <wp:extent cx="2571115" cy="1928495"/>
                  <wp:effectExtent l="0" t="0" r="635" b="14605"/>
                  <wp:docPr id="860232264" name="Picture 49" descr="WhatsApp Image 2025-12-10 at 18.4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32264" name="Picture 49" descr="WhatsApp Image 2025-12-10 at 18.42.26(1)"/>
                          <pic:cNvPicPr>
                            <a:picLocks noChangeAspect="1"/>
                          </pic:cNvPicPr>
                        </pic:nvPicPr>
                        <pic:blipFill>
                          <a:blip r:embed="rId65"/>
                          <a:stretch>
                            <a:fillRect/>
                          </a:stretch>
                        </pic:blipFill>
                        <pic:spPr>
                          <a:xfrm>
                            <a:off x="0" y="0"/>
                            <a:ext cx="2571115" cy="1928495"/>
                          </a:xfrm>
                          <a:prstGeom prst="rect">
                            <a:avLst/>
                          </a:prstGeom>
                          <a:noFill/>
                          <a:ln>
                            <a:noFill/>
                          </a:ln>
                        </pic:spPr>
                      </pic:pic>
                    </a:graphicData>
                  </a:graphic>
                </wp:inline>
              </w:drawing>
            </w:r>
          </w:p>
        </w:tc>
      </w:tr>
      <w:tr w14:paraId="2F3A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869" w:type="dxa"/>
          </w:tcPr>
          <w:p w14:paraId="25F94170">
            <w:pPr>
              <w:spacing w:after="0" w:line="240" w:lineRule="auto"/>
              <w:jc w:val="both"/>
              <w:rPr>
                <w:rFonts w:ascii="Times New Roman" w:hAnsi="Times New Roman"/>
                <w:b/>
                <w:bCs/>
                <w:sz w:val="20"/>
                <w:szCs w:val="24"/>
              </w:rPr>
            </w:pPr>
            <w:r>
              <w:rPr>
                <w:rFonts w:ascii="Times New Roman" w:hAnsi="Times New Roman"/>
                <w:b/>
                <w:bCs/>
                <w:sz w:val="20"/>
                <w:szCs w:val="24"/>
              </w:rPr>
              <w:t xml:space="preserve">KIMAWASCO staff filing in the project questionnaire </w:t>
            </w:r>
          </w:p>
        </w:tc>
        <w:tc>
          <w:tcPr>
            <w:tcW w:w="4570" w:type="dxa"/>
          </w:tcPr>
          <w:p w14:paraId="66503CD4">
            <w:pPr>
              <w:spacing w:after="0" w:line="240" w:lineRule="auto"/>
              <w:jc w:val="both"/>
              <w:rPr>
                <w:rFonts w:ascii="Times New Roman" w:hAnsi="Times New Roman"/>
                <w:b/>
                <w:bCs/>
                <w:sz w:val="20"/>
                <w:szCs w:val="24"/>
              </w:rPr>
            </w:pPr>
            <w:r>
              <w:rPr>
                <w:rFonts w:ascii="Times New Roman" w:hAnsi="Times New Roman"/>
                <w:b/>
                <w:bCs/>
                <w:sz w:val="20"/>
                <w:szCs w:val="24"/>
              </w:rPr>
              <w:t>Meeting with neighbouring community for sensitization</w:t>
            </w:r>
          </w:p>
        </w:tc>
      </w:tr>
    </w:tbl>
    <w:p w14:paraId="708F34CE">
      <w:pPr>
        <w:spacing w:after="0" w:line="240" w:lineRule="auto"/>
        <w:jc w:val="both"/>
        <w:rPr>
          <w:rFonts w:ascii="Times New Roman" w:hAnsi="Times New Roman"/>
          <w:b/>
          <w:bCs/>
          <w:szCs w:val="24"/>
        </w:rPr>
      </w:pPr>
    </w:p>
    <w:p w14:paraId="40E9A9F0">
      <w:pPr>
        <w:spacing w:line="240" w:lineRule="auto"/>
        <w:rPr>
          <w:rFonts w:ascii="Times New Roman" w:hAnsi="Times New Roman"/>
          <w:b/>
          <w:bCs/>
          <w:szCs w:val="24"/>
        </w:rPr>
      </w:pPr>
      <w:bookmarkStart w:id="718" w:name="_Toc66889691"/>
      <w:bookmarkEnd w:id="718"/>
      <w:bookmarkStart w:id="719" w:name="_Toc66889867"/>
      <w:bookmarkEnd w:id="719"/>
      <w:bookmarkStart w:id="720" w:name="_Toc66889868"/>
      <w:bookmarkEnd w:id="720"/>
      <w:r>
        <w:rPr>
          <w:rFonts w:ascii="Times New Roman" w:hAnsi="Times New Roman"/>
          <w:b/>
          <w:bCs/>
          <w:szCs w:val="24"/>
          <w:lang w:val="en-US"/>
        </w:rPr>
        <w:t xml:space="preserve">APPENDIX </w:t>
      </w:r>
      <w:r>
        <w:rPr>
          <w:rFonts w:ascii="Times New Roman" w:hAnsi="Times New Roman"/>
          <w:b/>
          <w:bCs/>
          <w:szCs w:val="24"/>
        </w:rPr>
        <w:t>C</w:t>
      </w:r>
      <w:r>
        <w:rPr>
          <w:rFonts w:ascii="Times New Roman" w:hAnsi="Times New Roman"/>
          <w:b/>
          <w:bCs/>
          <w:szCs w:val="24"/>
          <w:lang w:val="en-US"/>
        </w:rPr>
        <w:t xml:space="preserve">: </w:t>
      </w:r>
      <w:r>
        <w:rPr>
          <w:rFonts w:ascii="Times New Roman" w:hAnsi="Times New Roman"/>
          <w:b/>
          <w:bCs/>
          <w:szCs w:val="24"/>
        </w:rPr>
        <w:t>LAND OWNERSIP DOCUMENT</w:t>
      </w:r>
    </w:p>
    <w:p w14:paraId="5F2933A1">
      <w:pPr>
        <w:tabs>
          <w:tab w:val="left" w:pos="1560"/>
        </w:tabs>
        <w:spacing w:line="240" w:lineRule="auto"/>
        <w:ind w:left="-709" w:firstLine="709"/>
        <w:rPr>
          <w:rFonts w:ascii="Times New Roman" w:hAnsi="Times New Roman"/>
          <w:szCs w:val="24"/>
        </w:rPr>
      </w:pPr>
      <w:r>
        <w:rPr>
          <w:rFonts w:ascii="Times New Roman" w:hAnsi="Times New Roman"/>
          <w:szCs w:val="24"/>
        </w:rPr>
        <w:drawing>
          <wp:inline distT="0" distB="0" distL="114300" distR="114300">
            <wp:extent cx="5830570" cy="7670800"/>
            <wp:effectExtent l="0" t="0" r="17780" b="6350"/>
            <wp:docPr id="60" name="Picture 50" descr="WhatsApp Image 2025-12-11 at 02.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0" descr="WhatsApp Image 2025-12-11 at 02.19.26"/>
                    <pic:cNvPicPr>
                      <a:picLocks noChangeAspect="1"/>
                    </pic:cNvPicPr>
                  </pic:nvPicPr>
                  <pic:blipFill>
                    <a:blip r:embed="rId66"/>
                    <a:stretch>
                      <a:fillRect/>
                    </a:stretch>
                  </pic:blipFill>
                  <pic:spPr>
                    <a:xfrm>
                      <a:off x="0" y="0"/>
                      <a:ext cx="5830570" cy="7670800"/>
                    </a:xfrm>
                    <a:prstGeom prst="rect">
                      <a:avLst/>
                    </a:prstGeom>
                    <a:noFill/>
                    <a:ln>
                      <a:noFill/>
                    </a:ln>
                  </pic:spPr>
                </pic:pic>
              </a:graphicData>
            </a:graphic>
          </wp:inline>
        </w:drawing>
      </w:r>
    </w:p>
    <w:p w14:paraId="4AAE805A">
      <w:pPr>
        <w:spacing w:after="0" w:line="240" w:lineRule="auto"/>
        <w:rPr>
          <w:rFonts w:ascii="Times New Roman" w:hAnsi="Times New Roman"/>
          <w:b/>
          <w:spacing w:val="-2"/>
          <w:szCs w:val="24"/>
        </w:rPr>
      </w:pPr>
      <w:r>
        <w:rPr>
          <w:rFonts w:ascii="Times New Roman" w:hAnsi="Times New Roman"/>
          <w:b/>
          <w:spacing w:val="-2"/>
          <w:szCs w:val="24"/>
        </w:rPr>
        <w:br w:type="page"/>
      </w:r>
    </w:p>
    <w:p w14:paraId="237EE6DF">
      <w:pPr>
        <w:spacing w:before="201" w:line="240" w:lineRule="auto"/>
        <w:rPr>
          <w:rFonts w:ascii="Times New Roman" w:hAnsi="Times New Roman"/>
          <w:b/>
          <w:spacing w:val="-2"/>
          <w:szCs w:val="24"/>
        </w:rPr>
      </w:pPr>
    </w:p>
    <w:p w14:paraId="566BBB3F">
      <w:pPr>
        <w:spacing w:before="201" w:line="240" w:lineRule="auto"/>
        <w:rPr>
          <w:rFonts w:ascii="Times New Roman" w:hAnsi="Times New Roman"/>
          <w:b/>
          <w:spacing w:val="-2"/>
          <w:szCs w:val="24"/>
        </w:rPr>
      </w:pPr>
      <w:r>
        <w:rPr>
          <w:rFonts w:ascii="Times New Roman" w:hAnsi="Times New Roman"/>
          <w:b/>
          <w:spacing w:val="-2"/>
          <w:szCs w:val="24"/>
        </w:rPr>
        <w:t>APPENDIX D: THE ABLUTION BLOCK DESIGN</w:t>
      </w:r>
    </w:p>
    <w:p w14:paraId="7DFB4F9A">
      <w:pPr>
        <w:spacing w:before="201" w:line="240" w:lineRule="auto"/>
        <w:rPr>
          <w:rFonts w:ascii="Times New Roman" w:hAnsi="Times New Roman"/>
          <w:b/>
          <w:spacing w:val="-2"/>
          <w:szCs w:val="24"/>
        </w:rPr>
      </w:pPr>
    </w:p>
    <w:p w14:paraId="2D29C07B">
      <w:pPr>
        <w:spacing w:line="240" w:lineRule="auto"/>
        <w:jc w:val="center"/>
        <w:rPr>
          <w:rFonts w:ascii="Times New Roman" w:hAnsi="Times New Roman"/>
          <w:szCs w:val="24"/>
        </w:rPr>
      </w:pPr>
      <w:r>
        <w:rPr>
          <w:rFonts w:ascii="Times New Roman" w:hAnsi="Times New Roman"/>
          <w:szCs w:val="24"/>
        </w:rPr>
        <w:drawing>
          <wp:inline distT="0" distB="0" distL="114300" distR="114300">
            <wp:extent cx="1161415" cy="1127125"/>
            <wp:effectExtent l="0" t="0" r="635" b="15875"/>
            <wp:docPr id="53" name="Picture 51" descr="http://www.kilifiwater.co.ke/sites/default/files/kimawa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1" descr="http://www.kilifiwater.co.ke/sites/default/files/kimawasco.png"/>
                    <pic:cNvPicPr>
                      <a:picLocks noChangeAspect="1"/>
                    </pic:cNvPicPr>
                  </pic:nvPicPr>
                  <pic:blipFill>
                    <a:blip r:embed="rId67"/>
                    <a:stretch>
                      <a:fillRect/>
                    </a:stretch>
                  </pic:blipFill>
                  <pic:spPr>
                    <a:xfrm>
                      <a:off x="0" y="0"/>
                      <a:ext cx="1161415" cy="1127125"/>
                    </a:xfrm>
                    <a:prstGeom prst="rect">
                      <a:avLst/>
                    </a:prstGeom>
                    <a:noFill/>
                    <a:ln>
                      <a:noFill/>
                    </a:ln>
                  </pic:spPr>
                </pic:pic>
              </a:graphicData>
            </a:graphic>
          </wp:inline>
        </w:drawing>
      </w:r>
    </w:p>
    <w:p w14:paraId="35C9FA23">
      <w:pPr>
        <w:spacing w:line="240" w:lineRule="auto"/>
        <w:ind w:left="270" w:hanging="540"/>
        <w:jc w:val="center"/>
        <w:rPr>
          <w:rFonts w:ascii="Times New Roman" w:hAnsi="Times New Roman"/>
          <w:szCs w:val="24"/>
        </w:rPr>
      </w:pPr>
      <w:r>
        <w:rPr>
          <w:rFonts w:ascii="Times New Roman" w:hAnsi="Times New Roman"/>
          <w:b/>
          <w:szCs w:val="24"/>
        </w:rPr>
        <w:t>KILIFI – MARIAKANI WATER AND SEWERAGE CO. LTD. (KIMAWASCO)</w:t>
      </w:r>
    </w:p>
    <w:p w14:paraId="208DE72F">
      <w:pPr>
        <w:spacing w:line="240" w:lineRule="auto"/>
        <w:jc w:val="center"/>
        <w:rPr>
          <w:rFonts w:ascii="Times New Roman" w:hAnsi="Times New Roman"/>
          <w:szCs w:val="24"/>
        </w:rPr>
      </w:pPr>
    </w:p>
    <w:p w14:paraId="7EEAC113">
      <w:pPr>
        <w:spacing w:line="240" w:lineRule="auto"/>
        <w:ind w:hanging="270"/>
        <w:jc w:val="center"/>
        <w:rPr>
          <w:rFonts w:ascii="Times New Roman" w:hAnsi="Times New Roman"/>
          <w:b/>
          <w:szCs w:val="24"/>
        </w:rPr>
      </w:pPr>
      <w:r>
        <w:rPr>
          <w:rFonts w:ascii="Times New Roman" w:hAnsi="Times New Roman"/>
          <w:b/>
          <w:szCs w:val="24"/>
        </w:rPr>
        <w:t>WATER AND SANITATION DEVELOPMENT PROJECT–(WSDP)</w:t>
      </w:r>
    </w:p>
    <w:p w14:paraId="0EFDEF4A">
      <w:pPr>
        <w:spacing w:line="240" w:lineRule="auto"/>
        <w:jc w:val="center"/>
        <w:rPr>
          <w:rFonts w:ascii="Times New Roman" w:hAnsi="Times New Roman"/>
          <w:b/>
          <w:szCs w:val="24"/>
        </w:rPr>
      </w:pPr>
    </w:p>
    <w:p w14:paraId="3ED1A740">
      <w:pPr>
        <w:spacing w:line="240" w:lineRule="auto"/>
        <w:jc w:val="center"/>
        <w:rPr>
          <w:rFonts w:ascii="Times New Roman" w:hAnsi="Times New Roman"/>
          <w:b/>
          <w:szCs w:val="24"/>
        </w:rPr>
      </w:pPr>
      <w:r>
        <w:rPr>
          <w:rFonts w:ascii="Times New Roman" w:hAnsi="Times New Roman"/>
          <w:b/>
          <w:szCs w:val="24"/>
        </w:rPr>
        <w:t>SANITATION ABLUTION BLOCKS WORKS FOR KILIFI-MARIAKANI WATER AND SEWERAGE COMPANY LTD. (KIMAWASCO)</w:t>
      </w:r>
    </w:p>
    <w:p w14:paraId="0C0A1307">
      <w:pPr>
        <w:spacing w:line="240" w:lineRule="auto"/>
        <w:jc w:val="center"/>
        <w:rPr>
          <w:rFonts w:ascii="Times New Roman" w:hAnsi="Times New Roman"/>
          <w:b/>
          <w:szCs w:val="24"/>
        </w:rPr>
      </w:pPr>
    </w:p>
    <w:p w14:paraId="79889FAC">
      <w:pPr>
        <w:spacing w:line="240" w:lineRule="auto"/>
        <w:jc w:val="center"/>
        <w:rPr>
          <w:rFonts w:ascii="Times New Roman" w:hAnsi="Times New Roman"/>
          <w:b/>
          <w:szCs w:val="24"/>
        </w:rPr>
      </w:pPr>
      <w:r>
        <w:rPr>
          <w:rFonts w:ascii="Times New Roman" w:hAnsi="Times New Roman"/>
          <w:b/>
          <w:szCs w:val="24"/>
        </w:rPr>
        <w:t>CONSTRUCTION OF 12 NR. ABLUTION BLOCKS FOR KIMAWASCO</w:t>
      </w:r>
    </w:p>
    <w:p w14:paraId="0962892A">
      <w:pPr>
        <w:tabs>
          <w:tab w:val="left" w:pos="7905"/>
        </w:tabs>
        <w:spacing w:line="240" w:lineRule="auto"/>
        <w:jc w:val="center"/>
        <w:rPr>
          <w:rFonts w:ascii="Times New Roman" w:hAnsi="Times New Roman"/>
          <w:b/>
          <w:szCs w:val="24"/>
        </w:rPr>
      </w:pPr>
    </w:p>
    <w:p w14:paraId="2434D784">
      <w:pPr>
        <w:spacing w:line="240" w:lineRule="auto"/>
        <w:jc w:val="center"/>
        <w:rPr>
          <w:rFonts w:ascii="Times New Roman" w:hAnsi="Times New Roman"/>
          <w:b/>
          <w:szCs w:val="24"/>
        </w:rPr>
      </w:pPr>
      <w:r>
        <w:rPr>
          <w:rFonts w:ascii="Times New Roman" w:hAnsi="Times New Roman"/>
          <w:b/>
          <w:szCs w:val="24"/>
        </w:rPr>
        <w:t>CONTRACT No: KE-KIMAWASCO-459000-CW-DIR</w:t>
      </w:r>
    </w:p>
    <w:p w14:paraId="1A3CB2D4">
      <w:pPr>
        <w:spacing w:line="240" w:lineRule="auto"/>
        <w:ind w:right="-583"/>
        <w:rPr>
          <w:rFonts w:ascii="Times New Roman" w:hAnsi="Times New Roman" w:eastAsia="DengXian"/>
          <w:b/>
          <w:szCs w:val="24"/>
        </w:rPr>
      </w:pPr>
      <w:bookmarkStart w:id="721" w:name="_Hlk525193121"/>
    </w:p>
    <w:p w14:paraId="25A53A9F">
      <w:pPr>
        <w:spacing w:line="240" w:lineRule="auto"/>
        <w:ind w:left="-720" w:right="-583"/>
        <w:jc w:val="center"/>
        <w:rPr>
          <w:rFonts w:ascii="Times New Roman" w:hAnsi="Times New Roman" w:eastAsia="DengXian"/>
          <w:b/>
          <w:szCs w:val="24"/>
        </w:rPr>
      </w:pPr>
      <w:r>
        <w:rPr>
          <w:rFonts w:ascii="Times New Roman" w:hAnsi="Times New Roman" w:eastAsia="DengXian"/>
          <w:b/>
          <w:szCs w:val="24"/>
        </w:rPr>
        <w:drawing>
          <wp:inline distT="0" distB="0" distL="114300" distR="114300">
            <wp:extent cx="4676775" cy="3371850"/>
            <wp:effectExtent l="0" t="0" r="9525" b="0"/>
            <wp:docPr id="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2"/>
                    <pic:cNvPicPr>
                      <a:picLocks noChangeAspect="1"/>
                    </pic:cNvPicPr>
                  </pic:nvPicPr>
                  <pic:blipFill>
                    <a:blip r:embed="rId68"/>
                    <a:stretch>
                      <a:fillRect/>
                    </a:stretch>
                  </pic:blipFill>
                  <pic:spPr>
                    <a:xfrm>
                      <a:off x="0" y="0"/>
                      <a:ext cx="4676775" cy="3371850"/>
                    </a:xfrm>
                    <a:prstGeom prst="rect">
                      <a:avLst/>
                    </a:prstGeom>
                    <a:noFill/>
                    <a:ln>
                      <a:noFill/>
                    </a:ln>
                  </pic:spPr>
                </pic:pic>
              </a:graphicData>
            </a:graphic>
          </wp:inline>
        </w:drawing>
      </w:r>
    </w:p>
    <w:bookmarkEnd w:id="721"/>
    <w:p w14:paraId="4EC6A3CD">
      <w:pPr>
        <w:shd w:val="clear" w:color="auto" w:fill="BEBEBE"/>
        <w:spacing w:line="240" w:lineRule="auto"/>
        <w:ind w:right="47"/>
        <w:jc w:val="center"/>
        <w:rPr>
          <w:rFonts w:ascii="Times New Roman" w:hAnsi="Times New Roman" w:eastAsia="DengXian"/>
          <w:b/>
          <w:szCs w:val="24"/>
        </w:rPr>
      </w:pPr>
      <w:r>
        <w:rPr>
          <w:rFonts w:ascii="Times New Roman" w:hAnsi="Times New Roman" w:eastAsia="DengXian"/>
          <w:b/>
          <w:szCs w:val="24"/>
        </w:rPr>
        <w:t xml:space="preserve"> DESIGN REPORT FOR KIMAWASCO OFFICE ABLUTION BLOCK.</w:t>
      </w:r>
    </w:p>
    <w:p w14:paraId="3586D899">
      <w:pPr>
        <w:shd w:val="clear" w:color="auto" w:fill="BEBEBE"/>
        <w:spacing w:line="240" w:lineRule="auto"/>
        <w:ind w:right="47"/>
        <w:jc w:val="center"/>
        <w:rPr>
          <w:rFonts w:ascii="Times New Roman" w:hAnsi="Times New Roman" w:eastAsia="DengXian"/>
          <w:b/>
          <w:szCs w:val="24"/>
        </w:rPr>
      </w:pPr>
    </w:p>
    <w:p w14:paraId="1130395B">
      <w:pPr>
        <w:spacing w:line="240" w:lineRule="auto"/>
        <w:jc w:val="center"/>
        <w:rPr>
          <w:rFonts w:ascii="Times New Roman" w:hAnsi="Times New Roman" w:eastAsia="DengXian"/>
          <w:b/>
          <w:szCs w:val="24"/>
        </w:rPr>
      </w:pPr>
    </w:p>
    <w:p w14:paraId="02150E63">
      <w:pPr>
        <w:spacing w:line="240" w:lineRule="auto"/>
        <w:jc w:val="center"/>
        <w:rPr>
          <w:rFonts w:ascii="Times New Roman" w:hAnsi="Times New Roman" w:eastAsia="DengXian"/>
          <w:b/>
          <w:szCs w:val="24"/>
        </w:rPr>
      </w:pPr>
    </w:p>
    <w:p w14:paraId="7CD59386">
      <w:pPr>
        <w:spacing w:line="240" w:lineRule="auto"/>
        <w:jc w:val="center"/>
        <w:rPr>
          <w:rFonts w:ascii="Times New Roman" w:hAnsi="Times New Roman" w:eastAsia="DengXian"/>
          <w:b/>
          <w:szCs w:val="24"/>
        </w:rPr>
      </w:pPr>
    </w:p>
    <w:p w14:paraId="2889784A">
      <w:pPr>
        <w:spacing w:line="240" w:lineRule="auto"/>
        <w:jc w:val="center"/>
        <w:rPr>
          <w:rFonts w:ascii="Times New Roman" w:hAnsi="Times New Roman" w:eastAsia="DengXian"/>
          <w:b/>
          <w:szCs w:val="24"/>
        </w:rPr>
      </w:pPr>
    </w:p>
    <w:p w14:paraId="3CD87BFC">
      <w:pPr>
        <w:spacing w:line="240" w:lineRule="auto"/>
        <w:jc w:val="center"/>
        <w:rPr>
          <w:rFonts w:ascii="Times New Roman" w:hAnsi="Times New Roman" w:eastAsia="DengXian"/>
          <w:b/>
          <w:szCs w:val="24"/>
        </w:rPr>
      </w:pPr>
    </w:p>
    <w:tbl>
      <w:tblPr>
        <w:tblStyle w:val="7"/>
        <w:tblW w:w="9640" w:type="dxa"/>
        <w:tblInd w:w="-90" w:type="dxa"/>
        <w:tblLayout w:type="fixed"/>
        <w:tblCellMar>
          <w:top w:w="0" w:type="dxa"/>
          <w:left w:w="108" w:type="dxa"/>
          <w:bottom w:w="0" w:type="dxa"/>
          <w:right w:w="108" w:type="dxa"/>
        </w:tblCellMar>
      </w:tblPr>
      <w:tblGrid>
        <w:gridCol w:w="3690"/>
        <w:gridCol w:w="805"/>
        <w:gridCol w:w="2054"/>
        <w:gridCol w:w="3091"/>
      </w:tblGrid>
      <w:tr w14:paraId="6F52EDBA">
        <w:tblPrEx>
          <w:tblCellMar>
            <w:top w:w="0" w:type="dxa"/>
            <w:left w:w="108" w:type="dxa"/>
            <w:bottom w:w="0" w:type="dxa"/>
            <w:right w:w="108" w:type="dxa"/>
          </w:tblCellMar>
        </w:tblPrEx>
        <w:trPr>
          <w:trHeight w:val="1493" w:hRule="atLeast"/>
        </w:trPr>
        <w:tc>
          <w:tcPr>
            <w:tcW w:w="3690" w:type="dxa"/>
          </w:tcPr>
          <w:p w14:paraId="581948DD">
            <w:pPr>
              <w:spacing w:after="0" w:line="240" w:lineRule="auto"/>
              <w:rPr>
                <w:rFonts w:ascii="Times New Roman" w:hAnsi="Times New Roman"/>
                <w:b/>
                <w:sz w:val="18"/>
                <w:szCs w:val="18"/>
                <w:u w:val="single"/>
              </w:rPr>
            </w:pPr>
            <w:r>
              <w:rPr>
                <w:rFonts w:ascii="Times New Roman" w:hAnsi="Times New Roman"/>
                <w:b/>
                <w:sz w:val="18"/>
                <w:szCs w:val="18"/>
                <w:u w:val="single"/>
              </w:rPr>
              <w:t>Employer:</w:t>
            </w:r>
          </w:p>
          <w:p w14:paraId="5D0D29B7">
            <w:pPr>
              <w:spacing w:after="0" w:line="240" w:lineRule="auto"/>
              <w:rPr>
                <w:rFonts w:ascii="Times New Roman" w:hAnsi="Times New Roman"/>
                <w:b/>
                <w:sz w:val="18"/>
                <w:szCs w:val="18"/>
                <w:u w:val="single"/>
              </w:rPr>
            </w:pPr>
          </w:p>
          <w:p w14:paraId="5D062CBE">
            <w:pPr>
              <w:spacing w:after="0" w:line="240" w:lineRule="auto"/>
              <w:rPr>
                <w:rFonts w:ascii="Times New Roman" w:hAnsi="Times New Roman"/>
                <w:sz w:val="18"/>
                <w:szCs w:val="18"/>
              </w:rPr>
            </w:pPr>
            <w:r>
              <w:rPr>
                <w:rFonts w:ascii="Times New Roman" w:hAnsi="Times New Roman"/>
                <w:sz w:val="18"/>
                <w:szCs w:val="18"/>
              </w:rPr>
              <w:t>KILIFI-MARIAKANI WATER &amp; SEWERAGE CO. LTD</w:t>
            </w:r>
          </w:p>
          <w:p w14:paraId="50EF5801">
            <w:pPr>
              <w:spacing w:after="0" w:line="240" w:lineRule="auto"/>
              <w:rPr>
                <w:rFonts w:ascii="Times New Roman" w:hAnsi="Times New Roman"/>
                <w:sz w:val="18"/>
                <w:szCs w:val="18"/>
                <w:lang w:val="pt-BR"/>
              </w:rPr>
            </w:pPr>
            <w:r>
              <w:rPr>
                <w:rFonts w:ascii="Times New Roman" w:hAnsi="Times New Roman"/>
                <w:sz w:val="18"/>
                <w:szCs w:val="18"/>
                <w:lang w:val="pt-BR"/>
              </w:rPr>
              <w:t xml:space="preserve">P.O. BOX 275, 80108 </w:t>
            </w:r>
          </w:p>
          <w:p w14:paraId="090FF62F">
            <w:pPr>
              <w:spacing w:after="0" w:line="240" w:lineRule="auto"/>
              <w:rPr>
                <w:rFonts w:ascii="Times New Roman" w:hAnsi="Times New Roman"/>
                <w:sz w:val="18"/>
                <w:szCs w:val="18"/>
                <w:lang w:val="pt-BR"/>
              </w:rPr>
            </w:pPr>
            <w:r>
              <w:rPr>
                <w:rFonts w:ascii="Times New Roman" w:hAnsi="Times New Roman"/>
                <w:sz w:val="18"/>
                <w:szCs w:val="18"/>
                <w:lang w:val="pt-BR"/>
              </w:rPr>
              <w:t>KILIFI, KENYA</w:t>
            </w:r>
          </w:p>
          <w:p w14:paraId="4464180E">
            <w:pPr>
              <w:spacing w:after="0" w:line="240" w:lineRule="auto"/>
              <w:rPr>
                <w:rFonts w:ascii="Times New Roman" w:hAnsi="Times New Roman"/>
                <w:sz w:val="18"/>
                <w:szCs w:val="18"/>
                <w:lang w:val="pt-BR"/>
              </w:rPr>
            </w:pPr>
            <w:r>
              <w:rPr>
                <w:rFonts w:ascii="Times New Roman" w:hAnsi="Times New Roman"/>
                <w:sz w:val="18"/>
                <w:szCs w:val="18"/>
                <w:lang w:val="pt-BR"/>
              </w:rPr>
              <w:t>Tel:: +254 727110711 / 737442525</w:t>
            </w:r>
          </w:p>
          <w:p w14:paraId="4EFBA6A7">
            <w:pPr>
              <w:spacing w:after="0" w:line="240" w:lineRule="auto"/>
              <w:rPr>
                <w:rFonts w:ascii="Times New Roman" w:hAnsi="Times New Roman"/>
                <w:sz w:val="18"/>
                <w:szCs w:val="18"/>
              </w:rPr>
            </w:pPr>
            <w:r>
              <w:rPr>
                <w:rFonts w:ascii="Times New Roman" w:hAnsi="Times New Roman"/>
                <w:sz w:val="18"/>
                <w:szCs w:val="18"/>
                <w:lang w:val="pt-BR"/>
              </w:rPr>
              <w:t>Email: info@kilifiwater.co.ke</w:t>
            </w:r>
          </w:p>
        </w:tc>
        <w:tc>
          <w:tcPr>
            <w:tcW w:w="805" w:type="dxa"/>
          </w:tcPr>
          <w:p w14:paraId="27353F25">
            <w:pPr>
              <w:spacing w:line="240" w:lineRule="auto"/>
              <w:rPr>
                <w:rFonts w:ascii="Times New Roman" w:hAnsi="Times New Roman"/>
                <w:sz w:val="18"/>
                <w:szCs w:val="18"/>
              </w:rPr>
            </w:pPr>
          </w:p>
        </w:tc>
        <w:tc>
          <w:tcPr>
            <w:tcW w:w="2054" w:type="dxa"/>
          </w:tcPr>
          <w:p w14:paraId="40C42630">
            <w:pPr>
              <w:spacing w:line="240" w:lineRule="auto"/>
              <w:rPr>
                <w:rFonts w:ascii="Times New Roman" w:hAnsi="Times New Roman"/>
                <w:sz w:val="18"/>
                <w:szCs w:val="18"/>
                <w:u w:val="single"/>
              </w:rPr>
            </w:pPr>
            <w:r>
              <w:rPr>
                <w:rFonts w:ascii="Times New Roman" w:hAnsi="Times New Roman"/>
                <w:sz w:val="18"/>
                <w:szCs w:val="18"/>
                <w:u w:val="single"/>
              </w:rPr>
              <w:drawing>
                <wp:anchor distT="0" distB="0" distL="114300" distR="114300" simplePos="0" relativeHeight="251670528" behindDoc="0" locked="0" layoutInCell="1" allowOverlap="1">
                  <wp:simplePos x="0" y="0"/>
                  <wp:positionH relativeFrom="margin">
                    <wp:posOffset>-42545</wp:posOffset>
                  </wp:positionH>
                  <wp:positionV relativeFrom="margin">
                    <wp:posOffset>195580</wp:posOffset>
                  </wp:positionV>
                  <wp:extent cx="981075" cy="552450"/>
                  <wp:effectExtent l="0" t="0" r="9525" b="0"/>
                  <wp:wrapSquare wrapText="bothSides"/>
                  <wp:docPr id="4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5"/>
                          <pic:cNvPicPr>
                            <a:picLocks noChangeAspect="1"/>
                          </pic:cNvPicPr>
                        </pic:nvPicPr>
                        <pic:blipFill>
                          <a:blip r:embed="rId69"/>
                          <a:stretch>
                            <a:fillRect/>
                          </a:stretch>
                        </pic:blipFill>
                        <pic:spPr>
                          <a:xfrm>
                            <a:off x="0" y="0"/>
                            <a:ext cx="981075" cy="552450"/>
                          </a:xfrm>
                          <a:prstGeom prst="rect">
                            <a:avLst/>
                          </a:prstGeom>
                          <a:noFill/>
                          <a:ln>
                            <a:noFill/>
                          </a:ln>
                        </pic:spPr>
                      </pic:pic>
                    </a:graphicData>
                  </a:graphic>
                </wp:anchor>
              </w:drawing>
            </w:r>
            <w:r>
              <w:rPr>
                <w:rFonts w:ascii="Times New Roman" w:hAnsi="Times New Roman"/>
                <w:b/>
                <w:sz w:val="18"/>
                <w:szCs w:val="18"/>
                <w:u w:val="single"/>
              </w:rPr>
              <w:t>Consultants:</w:t>
            </w:r>
          </w:p>
        </w:tc>
        <w:tc>
          <w:tcPr>
            <w:tcW w:w="3091" w:type="dxa"/>
          </w:tcPr>
          <w:p w14:paraId="3FF9DEAC">
            <w:pPr>
              <w:spacing w:line="240" w:lineRule="auto"/>
              <w:rPr>
                <w:rFonts w:ascii="Times New Roman" w:hAnsi="Times New Roman"/>
                <w:sz w:val="18"/>
                <w:szCs w:val="18"/>
              </w:rPr>
            </w:pPr>
          </w:p>
          <w:p w14:paraId="6FE04127">
            <w:pPr>
              <w:spacing w:after="0" w:line="240" w:lineRule="auto"/>
              <w:rPr>
                <w:rFonts w:ascii="Times New Roman" w:hAnsi="Times New Roman"/>
                <w:sz w:val="18"/>
                <w:szCs w:val="18"/>
              </w:rPr>
            </w:pPr>
            <w:r>
              <w:rPr>
                <w:rFonts w:ascii="Times New Roman" w:hAnsi="Times New Roman"/>
                <w:sz w:val="18"/>
                <w:szCs w:val="18"/>
              </w:rPr>
              <w:t xml:space="preserve">MANGAT, I.B. PATEL (MIBP) LIMITED </w:t>
            </w:r>
          </w:p>
          <w:p w14:paraId="093058C0">
            <w:pPr>
              <w:spacing w:after="0" w:line="240" w:lineRule="auto"/>
              <w:rPr>
                <w:rFonts w:ascii="Times New Roman" w:hAnsi="Times New Roman"/>
                <w:sz w:val="18"/>
                <w:szCs w:val="18"/>
              </w:rPr>
            </w:pPr>
            <w:r>
              <w:rPr>
                <w:rFonts w:ascii="Times New Roman" w:hAnsi="Times New Roman"/>
                <w:sz w:val="18"/>
                <w:szCs w:val="18"/>
              </w:rPr>
              <w:t>CONSULTING ENGINEERS</w:t>
            </w:r>
          </w:p>
          <w:p w14:paraId="1EC980AA">
            <w:pPr>
              <w:spacing w:after="0" w:line="240" w:lineRule="auto"/>
              <w:rPr>
                <w:rFonts w:ascii="Times New Roman" w:hAnsi="Times New Roman"/>
                <w:sz w:val="18"/>
                <w:szCs w:val="18"/>
                <w:lang w:val="pt-BR"/>
              </w:rPr>
            </w:pPr>
            <w:r>
              <w:rPr>
                <w:rFonts w:ascii="Times New Roman" w:hAnsi="Times New Roman"/>
                <w:sz w:val="18"/>
                <w:szCs w:val="18"/>
                <w:lang w:val="pt-BR"/>
              </w:rPr>
              <w:t xml:space="preserve">P.O. BOX 48674, 00100 - GPO </w:t>
            </w:r>
          </w:p>
          <w:p w14:paraId="3359B51A">
            <w:pPr>
              <w:spacing w:after="0" w:line="240" w:lineRule="auto"/>
              <w:rPr>
                <w:rFonts w:ascii="Times New Roman" w:hAnsi="Times New Roman"/>
                <w:sz w:val="18"/>
                <w:szCs w:val="18"/>
                <w:lang w:val="pt-BR"/>
              </w:rPr>
            </w:pPr>
            <w:r>
              <w:rPr>
                <w:rFonts w:ascii="Times New Roman" w:hAnsi="Times New Roman"/>
                <w:sz w:val="18"/>
                <w:szCs w:val="18"/>
                <w:lang w:val="pt-BR"/>
              </w:rPr>
              <w:t>NAIROBI, KENYA</w:t>
            </w:r>
          </w:p>
          <w:p w14:paraId="13857AE4">
            <w:pPr>
              <w:spacing w:after="0" w:line="240" w:lineRule="auto"/>
              <w:rPr>
                <w:rFonts w:ascii="Times New Roman" w:hAnsi="Times New Roman"/>
                <w:sz w:val="18"/>
                <w:szCs w:val="18"/>
                <w:lang w:val="pt-BR"/>
              </w:rPr>
            </w:pPr>
            <w:r>
              <w:rPr>
                <w:rFonts w:ascii="Times New Roman" w:hAnsi="Times New Roman"/>
                <w:sz w:val="18"/>
                <w:szCs w:val="18"/>
                <w:lang w:val="pt-BR"/>
              </w:rPr>
              <w:t>E-mail: mibp.nairobi@mibp.co.ke</w:t>
            </w:r>
          </w:p>
          <w:p w14:paraId="02C84B82">
            <w:pPr>
              <w:spacing w:after="0" w:line="240" w:lineRule="auto"/>
              <w:rPr>
                <w:rFonts w:ascii="Times New Roman" w:hAnsi="Times New Roman"/>
                <w:sz w:val="18"/>
                <w:szCs w:val="18"/>
              </w:rPr>
            </w:pPr>
            <w:r>
              <w:rPr>
                <w:rFonts w:ascii="Times New Roman" w:hAnsi="Times New Roman"/>
                <w:sz w:val="18"/>
                <w:szCs w:val="18"/>
              </w:rPr>
              <w:t xml:space="preserve">Tel:  +254 - 20 - 2710500 </w:t>
            </w:r>
          </w:p>
          <w:p w14:paraId="59056310">
            <w:pPr>
              <w:spacing w:after="0" w:line="240" w:lineRule="auto"/>
              <w:rPr>
                <w:rFonts w:ascii="Times New Roman" w:hAnsi="Times New Roman"/>
                <w:sz w:val="18"/>
                <w:szCs w:val="18"/>
              </w:rPr>
            </w:pPr>
            <w:r>
              <w:rPr>
                <w:rFonts w:ascii="Times New Roman" w:hAnsi="Times New Roman"/>
                <w:sz w:val="18"/>
                <w:szCs w:val="18"/>
              </w:rPr>
              <w:t>Mobile: 0725 321 201</w:t>
            </w:r>
          </w:p>
          <w:p w14:paraId="3EB6366E">
            <w:pPr>
              <w:spacing w:line="240" w:lineRule="auto"/>
              <w:rPr>
                <w:rFonts w:ascii="Times New Roman" w:hAnsi="Times New Roman"/>
                <w:sz w:val="18"/>
                <w:szCs w:val="18"/>
              </w:rPr>
            </w:pPr>
          </w:p>
        </w:tc>
      </w:tr>
      <w:tr w14:paraId="40EA9D38">
        <w:tblPrEx>
          <w:tblCellMar>
            <w:top w:w="0" w:type="dxa"/>
            <w:left w:w="108" w:type="dxa"/>
            <w:bottom w:w="0" w:type="dxa"/>
            <w:right w:w="108" w:type="dxa"/>
          </w:tblCellMar>
        </w:tblPrEx>
        <w:trPr>
          <w:trHeight w:val="980" w:hRule="atLeast"/>
        </w:trPr>
        <w:tc>
          <w:tcPr>
            <w:tcW w:w="3690" w:type="dxa"/>
          </w:tcPr>
          <w:p w14:paraId="5B76FB9E">
            <w:pPr>
              <w:spacing w:line="240" w:lineRule="auto"/>
              <w:rPr>
                <w:rFonts w:ascii="Times New Roman" w:hAnsi="Times New Roman"/>
                <w:b/>
                <w:sz w:val="18"/>
                <w:szCs w:val="18"/>
                <w:u w:val="single"/>
              </w:rPr>
            </w:pPr>
          </w:p>
        </w:tc>
        <w:tc>
          <w:tcPr>
            <w:tcW w:w="805" w:type="dxa"/>
          </w:tcPr>
          <w:p w14:paraId="7E9FD0C2">
            <w:pPr>
              <w:spacing w:line="240" w:lineRule="auto"/>
              <w:rPr>
                <w:rFonts w:ascii="Times New Roman" w:hAnsi="Times New Roman"/>
                <w:sz w:val="18"/>
                <w:szCs w:val="18"/>
              </w:rPr>
            </w:pPr>
          </w:p>
        </w:tc>
        <w:tc>
          <w:tcPr>
            <w:tcW w:w="2054" w:type="dxa"/>
          </w:tcPr>
          <w:p w14:paraId="5418A60D">
            <w:pPr>
              <w:spacing w:line="240" w:lineRule="auto"/>
              <w:rPr>
                <w:rFonts w:ascii="Times New Roman" w:hAnsi="Times New Roman"/>
                <w:sz w:val="18"/>
                <w:szCs w:val="18"/>
                <w:u w:val="single"/>
              </w:rPr>
            </w:pPr>
            <w:r>
              <w:rPr>
                <w:rFonts w:ascii="Times New Roman" w:hAnsi="Times New Roman"/>
                <w:sz w:val="18"/>
                <w:szCs w:val="18"/>
              </w:rPr>
              <w:drawing>
                <wp:inline distT="0" distB="0" distL="114300" distR="114300">
                  <wp:extent cx="1066800" cy="493395"/>
                  <wp:effectExtent l="0" t="0" r="0" b="1905"/>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70"/>
                          <a:stretch>
                            <a:fillRect/>
                          </a:stretch>
                        </pic:blipFill>
                        <pic:spPr>
                          <a:xfrm>
                            <a:off x="0" y="0"/>
                            <a:ext cx="1066800" cy="493395"/>
                          </a:xfrm>
                          <a:prstGeom prst="rect">
                            <a:avLst/>
                          </a:prstGeom>
                          <a:noFill/>
                          <a:ln>
                            <a:noFill/>
                          </a:ln>
                        </pic:spPr>
                      </pic:pic>
                    </a:graphicData>
                  </a:graphic>
                </wp:inline>
              </w:drawing>
            </w:r>
          </w:p>
        </w:tc>
        <w:tc>
          <w:tcPr>
            <w:tcW w:w="3091" w:type="dxa"/>
          </w:tcPr>
          <w:p w14:paraId="50A71910">
            <w:pPr>
              <w:pStyle w:val="35"/>
              <w:spacing w:after="0" w:line="240" w:lineRule="auto"/>
              <w:rPr>
                <w:rFonts w:ascii="Times New Roman" w:hAnsi="Times New Roman" w:cs="Times New Roman"/>
                <w:color w:val="auto"/>
              </w:rPr>
            </w:pPr>
            <w:r>
              <w:rPr>
                <w:rFonts w:ascii="Times New Roman" w:hAnsi="Times New Roman" w:cs="Times New Roman"/>
                <w:bCs/>
                <w:color w:val="auto"/>
              </w:rPr>
              <w:t xml:space="preserve">CES </w:t>
            </w:r>
            <w:r>
              <w:rPr>
                <w:rFonts w:ascii="Times New Roman" w:hAnsi="Times New Roman" w:cs="Times New Roman"/>
                <w:color w:val="auto"/>
              </w:rPr>
              <w:t>CONSULTING ENGINEERS</w:t>
            </w:r>
          </w:p>
          <w:p w14:paraId="35795A92">
            <w:pPr>
              <w:spacing w:after="0" w:line="240" w:lineRule="auto"/>
              <w:rPr>
                <w:rFonts w:ascii="Times New Roman" w:hAnsi="Times New Roman"/>
                <w:sz w:val="18"/>
                <w:szCs w:val="18"/>
                <w:lang w:eastAsia="de-DE"/>
              </w:rPr>
            </w:pPr>
            <w:r>
              <w:rPr>
                <w:rFonts w:ascii="Times New Roman" w:hAnsi="Times New Roman"/>
                <w:sz w:val="18"/>
                <w:szCs w:val="18"/>
              </w:rPr>
              <w:t>Salzgitter GmbH</w:t>
            </w:r>
            <w:r>
              <w:rPr>
                <w:rFonts w:ascii="Times New Roman" w:hAnsi="Times New Roman"/>
                <w:sz w:val="18"/>
                <w:szCs w:val="18"/>
                <w:lang w:eastAsia="de-DE"/>
              </w:rPr>
              <w:t xml:space="preserve"> </w:t>
            </w:r>
          </w:p>
          <w:p w14:paraId="0B947220">
            <w:pPr>
              <w:spacing w:after="0" w:line="240" w:lineRule="auto"/>
              <w:rPr>
                <w:rFonts w:ascii="Times New Roman" w:hAnsi="Times New Roman"/>
                <w:sz w:val="18"/>
                <w:szCs w:val="18"/>
                <w:lang w:eastAsia="de-DE"/>
              </w:rPr>
            </w:pPr>
            <w:r>
              <w:rPr>
                <w:rFonts w:ascii="Times New Roman" w:hAnsi="Times New Roman"/>
                <w:sz w:val="18"/>
                <w:szCs w:val="18"/>
                <w:lang w:eastAsia="de-DE"/>
              </w:rPr>
              <w:t>Nordstraße 23</w:t>
            </w:r>
          </w:p>
          <w:p w14:paraId="58EAFC5B">
            <w:pPr>
              <w:spacing w:after="0" w:line="240" w:lineRule="auto"/>
              <w:ind w:right="-108"/>
              <w:rPr>
                <w:rFonts w:ascii="Times New Roman" w:hAnsi="Times New Roman"/>
                <w:sz w:val="18"/>
                <w:szCs w:val="18"/>
                <w:lang w:val="de-DE" w:eastAsia="de-DE"/>
              </w:rPr>
            </w:pPr>
            <w:r>
              <w:rPr>
                <w:rFonts w:ascii="Times New Roman" w:hAnsi="Times New Roman"/>
                <w:sz w:val="18"/>
                <w:szCs w:val="18"/>
                <w:lang w:val="de-DE" w:eastAsia="de-DE"/>
              </w:rPr>
              <w:t>38106 Braunschweig, GERMANY</w:t>
            </w:r>
          </w:p>
          <w:p w14:paraId="49E01AE1">
            <w:pPr>
              <w:spacing w:after="0" w:line="240" w:lineRule="auto"/>
              <w:rPr>
                <w:rFonts w:ascii="Times New Roman" w:hAnsi="Times New Roman"/>
                <w:sz w:val="18"/>
                <w:szCs w:val="18"/>
                <w:lang w:val="de-DE"/>
              </w:rPr>
            </w:pPr>
            <w:r>
              <w:rPr>
                <w:rFonts w:ascii="Times New Roman" w:hAnsi="Times New Roman"/>
                <w:sz w:val="18"/>
                <w:szCs w:val="18"/>
                <w:lang w:val="fr-FR"/>
              </w:rPr>
              <w:t xml:space="preserve">E-mail : </w:t>
            </w:r>
            <w:r>
              <w:fldChar w:fldCharType="begin"/>
            </w:r>
            <w:r>
              <w:instrText xml:space="preserve"> HYPERLINK "mailto:gek@ces.de" </w:instrText>
            </w:r>
            <w:r>
              <w:fldChar w:fldCharType="separate"/>
            </w:r>
            <w:r>
              <w:rPr>
                <w:rFonts w:ascii="Times New Roman" w:hAnsi="Times New Roman"/>
                <w:sz w:val="18"/>
                <w:szCs w:val="18"/>
                <w:lang w:val="fr-FR"/>
              </w:rPr>
              <w:t>gek@ces.de</w:t>
            </w:r>
            <w:r>
              <w:rPr>
                <w:rFonts w:ascii="Times New Roman" w:hAnsi="Times New Roman"/>
                <w:sz w:val="18"/>
                <w:szCs w:val="18"/>
                <w:lang w:val="fr-FR"/>
              </w:rPr>
              <w:fldChar w:fldCharType="end"/>
            </w:r>
          </w:p>
          <w:p w14:paraId="35741230">
            <w:pPr>
              <w:spacing w:line="240" w:lineRule="auto"/>
              <w:rPr>
                <w:rFonts w:ascii="Times New Roman" w:hAnsi="Times New Roman"/>
                <w:sz w:val="18"/>
                <w:szCs w:val="18"/>
              </w:rPr>
            </w:pPr>
          </w:p>
        </w:tc>
      </w:tr>
    </w:tbl>
    <w:p w14:paraId="039E48C3">
      <w:pPr>
        <w:spacing w:line="240" w:lineRule="auto"/>
        <w:jc w:val="center"/>
        <w:rPr>
          <w:rFonts w:ascii="Times New Roman" w:hAnsi="Times New Roman"/>
          <w:szCs w:val="24"/>
        </w:rPr>
        <w:sectPr>
          <w:headerReference r:id="rId14" w:type="default"/>
          <w:footerReference r:id="rId15" w:type="default"/>
          <w:pgSz w:w="11909" w:h="16834"/>
          <w:pgMar w:top="720" w:right="929" w:bottom="720" w:left="1440" w:header="720" w:footer="720" w:gutter="0"/>
          <w:cols w:space="720" w:num="1"/>
          <w:titlePg/>
          <w:docGrid w:linePitch="360" w:charSpace="0"/>
        </w:sectPr>
      </w:pPr>
      <w:r>
        <w:rPr>
          <w:rFonts w:ascii="Times New Roman" w:hAnsi="Times New Roman" w:eastAsia="DengXian"/>
          <w:b/>
          <w:szCs w:val="24"/>
        </w:rPr>
        <w:t>OCTOBER 2025</w:t>
      </w:r>
    </w:p>
    <w:p w14:paraId="6A5A0507">
      <w:pPr>
        <w:spacing w:line="240" w:lineRule="auto"/>
        <w:jc w:val="center"/>
        <w:rPr>
          <w:rFonts w:ascii="Times New Roman" w:hAnsi="Times New Roman"/>
          <w:b/>
          <w:szCs w:val="24"/>
        </w:rPr>
      </w:pPr>
      <w:r>
        <w:rPr>
          <w:rFonts w:ascii="Times New Roman" w:hAnsi="Times New Roman"/>
          <w:b/>
          <w:szCs w:val="24"/>
        </w:rPr>
        <w:t>“DOCUMENT CONTROL”</w:t>
      </w:r>
    </w:p>
    <w:p w14:paraId="1A7FD37C">
      <w:pPr>
        <w:spacing w:line="240" w:lineRule="auto"/>
        <w:jc w:val="center"/>
        <w:rPr>
          <w:rFonts w:ascii="Times New Roman" w:hAnsi="Times New Roman"/>
          <w:b/>
          <w:szCs w:val="24"/>
        </w:rPr>
      </w:pPr>
      <w:r>
        <w:rPr>
          <w:rFonts w:ascii="Times New Roman" w:hAnsi="Times New Roman"/>
          <w:b/>
          <w:szCs w:val="24"/>
        </w:rPr>
        <w:t>WATER AND SANITATION DEVELOPMENT PROJECT–(WSDP)</w:t>
      </w:r>
    </w:p>
    <w:p w14:paraId="34E0EBC7">
      <w:pPr>
        <w:spacing w:line="240" w:lineRule="auto"/>
        <w:jc w:val="center"/>
        <w:rPr>
          <w:rFonts w:ascii="Times New Roman" w:hAnsi="Times New Roman"/>
          <w:b/>
          <w:szCs w:val="24"/>
        </w:rPr>
      </w:pPr>
    </w:p>
    <w:p w14:paraId="33C1FFD2">
      <w:pPr>
        <w:spacing w:line="240" w:lineRule="auto"/>
        <w:jc w:val="center"/>
        <w:rPr>
          <w:rFonts w:ascii="Times New Roman" w:hAnsi="Times New Roman"/>
          <w:b/>
          <w:szCs w:val="24"/>
        </w:rPr>
      </w:pPr>
      <w:r>
        <w:rPr>
          <w:rFonts w:ascii="Times New Roman" w:hAnsi="Times New Roman"/>
          <w:b/>
          <w:szCs w:val="24"/>
        </w:rPr>
        <w:t>SANITATION ABLUTION BLOCKS WORKS FOR KILIFI-MARIAKANI WATER AND SEWERAGE COMPANY LTD. (KIMAWASCO)</w:t>
      </w:r>
    </w:p>
    <w:p w14:paraId="347FDC8D">
      <w:pPr>
        <w:spacing w:line="240" w:lineRule="auto"/>
        <w:jc w:val="center"/>
        <w:rPr>
          <w:rFonts w:ascii="Times New Roman" w:hAnsi="Times New Roman"/>
          <w:b/>
          <w:szCs w:val="24"/>
        </w:rPr>
      </w:pPr>
      <w:r>
        <w:rPr>
          <w:rFonts w:ascii="Times New Roman" w:hAnsi="Times New Roman"/>
          <w:b/>
          <w:szCs w:val="24"/>
        </w:rPr>
        <w:t>CONSTRUCTION OF 1 NO. ABLUTION BLOCK</w:t>
      </w:r>
    </w:p>
    <w:p w14:paraId="283CEF15">
      <w:pPr>
        <w:tabs>
          <w:tab w:val="left" w:pos="7905"/>
        </w:tabs>
        <w:spacing w:line="240" w:lineRule="auto"/>
        <w:rPr>
          <w:rFonts w:ascii="Times New Roman" w:hAnsi="Times New Roman"/>
          <w:b/>
          <w:szCs w:val="24"/>
        </w:rPr>
      </w:pPr>
      <w:r>
        <w:rPr>
          <w:rFonts w:ascii="Times New Roman" w:hAnsi="Times New Roman"/>
          <w:b/>
          <w:szCs w:val="24"/>
        </w:rPr>
        <w:t xml:space="preserve">       </w:t>
      </w:r>
    </w:p>
    <w:p w14:paraId="44ACB4A6">
      <w:pPr>
        <w:tabs>
          <w:tab w:val="left" w:pos="7905"/>
        </w:tabs>
        <w:spacing w:line="240" w:lineRule="auto"/>
        <w:jc w:val="center"/>
        <w:rPr>
          <w:rFonts w:ascii="Times New Roman" w:hAnsi="Times New Roman"/>
          <w:b/>
          <w:szCs w:val="24"/>
        </w:rPr>
      </w:pPr>
      <w:r>
        <w:rPr>
          <w:rFonts w:ascii="Times New Roman" w:hAnsi="Times New Roman"/>
          <w:b/>
          <w:szCs w:val="24"/>
        </w:rPr>
        <w:t>CONTRACT No: KE-KIMAWASCO-459000-CW-DIR</w:t>
      </w:r>
    </w:p>
    <w:p w14:paraId="309B0ABD">
      <w:pPr>
        <w:spacing w:line="240" w:lineRule="auto"/>
        <w:jc w:val="center"/>
        <w:rPr>
          <w:rFonts w:ascii="Times New Roman" w:hAnsi="Times New Roman"/>
          <w:b/>
          <w:szCs w:val="24"/>
        </w:rPr>
      </w:pPr>
    </w:p>
    <w:p w14:paraId="46F7C49C">
      <w:pPr>
        <w:spacing w:line="240" w:lineRule="auto"/>
        <w:jc w:val="center"/>
        <w:rPr>
          <w:rFonts w:ascii="Times New Roman" w:hAnsi="Times New Roman"/>
          <w:b/>
          <w:szCs w:val="24"/>
        </w:rPr>
      </w:pPr>
      <w:r>
        <w:rPr>
          <w:rFonts w:ascii="Times New Roman" w:hAnsi="Times New Roman"/>
          <w:b/>
          <w:szCs w:val="24"/>
        </w:rPr>
        <w:t>EMPLOYER:</w:t>
      </w:r>
    </w:p>
    <w:p w14:paraId="2A3E673F">
      <w:pPr>
        <w:spacing w:line="240" w:lineRule="auto"/>
        <w:jc w:val="center"/>
        <w:rPr>
          <w:rFonts w:ascii="Times New Roman" w:hAnsi="Times New Roman"/>
          <w:b/>
          <w:szCs w:val="24"/>
        </w:rPr>
      </w:pPr>
      <w:r>
        <w:rPr>
          <w:rFonts w:ascii="Times New Roman" w:hAnsi="Times New Roman"/>
          <w:b/>
          <w:szCs w:val="24"/>
        </w:rPr>
        <w:t>Kilifi-Mariakani Water and Sewerage Company Ltd (KIMAWASCO)</w:t>
      </w:r>
    </w:p>
    <w:p w14:paraId="370B95CF">
      <w:pPr>
        <w:spacing w:line="240" w:lineRule="auto"/>
        <w:jc w:val="center"/>
        <w:rPr>
          <w:rFonts w:ascii="Times New Roman" w:hAnsi="Times New Roman"/>
          <w:b/>
          <w:szCs w:val="24"/>
        </w:rPr>
      </w:pPr>
    </w:p>
    <w:p w14:paraId="527EE956">
      <w:pPr>
        <w:spacing w:line="240" w:lineRule="auto"/>
        <w:jc w:val="center"/>
        <w:rPr>
          <w:rFonts w:ascii="Times New Roman" w:hAnsi="Times New Roman"/>
          <w:b/>
          <w:szCs w:val="24"/>
        </w:rPr>
      </w:pPr>
    </w:p>
    <w:p w14:paraId="69CA587D">
      <w:pPr>
        <w:spacing w:line="240" w:lineRule="auto"/>
        <w:jc w:val="center"/>
        <w:rPr>
          <w:rFonts w:ascii="Times New Roman" w:hAnsi="Times New Roman"/>
          <w:b/>
          <w:szCs w:val="24"/>
        </w:rPr>
      </w:pPr>
      <w:r>
        <w:rPr>
          <w:rFonts w:ascii="Times New Roman" w:hAnsi="Times New Roman"/>
          <w:b/>
          <w:szCs w:val="24"/>
        </w:rPr>
        <w:t>CONSULTANT:</w:t>
      </w:r>
    </w:p>
    <w:p w14:paraId="12B1A1DC">
      <w:pPr>
        <w:spacing w:line="240" w:lineRule="auto"/>
        <w:jc w:val="center"/>
        <w:rPr>
          <w:rFonts w:ascii="Times New Roman" w:hAnsi="Times New Roman"/>
          <w:b/>
          <w:szCs w:val="24"/>
        </w:rPr>
      </w:pPr>
    </w:p>
    <w:tbl>
      <w:tblPr>
        <w:tblStyle w:val="7"/>
        <w:tblW w:w="9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3118"/>
        <w:gridCol w:w="3458"/>
      </w:tblGrid>
      <w:tr w14:paraId="60B9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20" w:type="dxa"/>
            <w:gridSpan w:val="2"/>
            <w:tcBorders>
              <w:top w:val="single" w:color="auto" w:sz="4" w:space="0"/>
              <w:left w:val="single" w:color="auto" w:sz="4" w:space="0"/>
              <w:bottom w:val="nil"/>
              <w:right w:val="nil"/>
            </w:tcBorders>
          </w:tcPr>
          <w:p w14:paraId="439B1E5B">
            <w:pPr>
              <w:spacing w:line="240" w:lineRule="auto"/>
              <w:rPr>
                <w:rFonts w:ascii="Times New Roman" w:hAnsi="Times New Roman"/>
                <w:b/>
                <w:szCs w:val="24"/>
              </w:rPr>
            </w:pPr>
          </w:p>
        </w:tc>
        <w:tc>
          <w:tcPr>
            <w:tcW w:w="3458" w:type="dxa"/>
            <w:tcBorders>
              <w:top w:val="single" w:color="auto" w:sz="4" w:space="0"/>
              <w:left w:val="nil"/>
              <w:bottom w:val="nil"/>
              <w:right w:val="single" w:color="auto" w:sz="4" w:space="0"/>
            </w:tcBorders>
          </w:tcPr>
          <w:p w14:paraId="30E8740F">
            <w:pPr>
              <w:spacing w:line="240" w:lineRule="auto"/>
              <w:rPr>
                <w:rFonts w:ascii="Times New Roman" w:hAnsi="Times New Roman"/>
                <w:b/>
                <w:szCs w:val="24"/>
              </w:rPr>
            </w:pPr>
          </w:p>
        </w:tc>
      </w:tr>
      <w:tr w14:paraId="2EEE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2802" w:type="dxa"/>
            <w:tcBorders>
              <w:top w:val="nil"/>
              <w:left w:val="single" w:color="auto" w:sz="4" w:space="0"/>
              <w:bottom w:val="nil"/>
              <w:right w:val="nil"/>
            </w:tcBorders>
          </w:tcPr>
          <w:p w14:paraId="39E4BA6C">
            <w:pPr>
              <w:spacing w:line="240" w:lineRule="auto"/>
              <w:rPr>
                <w:rFonts w:ascii="Times New Roman" w:hAnsi="Times New Roman"/>
                <w:b/>
                <w:i/>
                <w:szCs w:val="24"/>
              </w:rPr>
            </w:pPr>
            <w:r>
              <w:rPr>
                <w:rFonts w:ascii="Times New Roman" w:hAnsi="Times New Roman"/>
                <w:szCs w:val="24"/>
              </w:rPr>
              <w:drawing>
                <wp:anchor distT="0" distB="0" distL="114300" distR="114300" simplePos="0" relativeHeight="251672576" behindDoc="0" locked="0" layoutInCell="1" allowOverlap="1">
                  <wp:simplePos x="0" y="0"/>
                  <wp:positionH relativeFrom="margin">
                    <wp:posOffset>197485</wp:posOffset>
                  </wp:positionH>
                  <wp:positionV relativeFrom="margin">
                    <wp:posOffset>0</wp:posOffset>
                  </wp:positionV>
                  <wp:extent cx="943610" cy="532130"/>
                  <wp:effectExtent l="0" t="0" r="8890" b="1270"/>
                  <wp:wrapSquare wrapText="bothSides"/>
                  <wp:docPr id="3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7"/>
                          <pic:cNvPicPr>
                            <a:picLocks noChangeAspect="1"/>
                          </pic:cNvPicPr>
                        </pic:nvPicPr>
                        <pic:blipFill>
                          <a:blip r:embed="rId71"/>
                          <a:stretch>
                            <a:fillRect/>
                          </a:stretch>
                        </pic:blipFill>
                        <pic:spPr>
                          <a:xfrm>
                            <a:off x="0" y="0"/>
                            <a:ext cx="943610" cy="532130"/>
                          </a:xfrm>
                          <a:prstGeom prst="rect">
                            <a:avLst/>
                          </a:prstGeom>
                          <a:noFill/>
                          <a:ln>
                            <a:noFill/>
                          </a:ln>
                        </pic:spPr>
                      </pic:pic>
                    </a:graphicData>
                  </a:graphic>
                </wp:anchor>
              </w:drawing>
            </w:r>
          </w:p>
        </w:tc>
        <w:tc>
          <w:tcPr>
            <w:tcW w:w="3118" w:type="dxa"/>
            <w:tcBorders>
              <w:top w:val="nil"/>
              <w:left w:val="nil"/>
              <w:bottom w:val="nil"/>
              <w:right w:val="nil"/>
            </w:tcBorders>
          </w:tcPr>
          <w:p w14:paraId="16D09887">
            <w:pPr>
              <w:tabs>
                <w:tab w:val="left" w:pos="2238"/>
              </w:tabs>
              <w:spacing w:line="240" w:lineRule="auto"/>
              <w:ind w:firstLine="258"/>
              <w:jc w:val="center"/>
              <w:rPr>
                <w:rFonts w:ascii="Times New Roman" w:hAnsi="Times New Roman"/>
                <w:b/>
                <w:szCs w:val="24"/>
              </w:rPr>
            </w:pPr>
          </w:p>
        </w:tc>
        <w:tc>
          <w:tcPr>
            <w:tcW w:w="3458" w:type="dxa"/>
            <w:tcBorders>
              <w:top w:val="nil"/>
              <w:left w:val="nil"/>
              <w:bottom w:val="nil"/>
              <w:right w:val="single" w:color="auto" w:sz="4" w:space="0"/>
            </w:tcBorders>
          </w:tcPr>
          <w:p w14:paraId="5B783DF8">
            <w:pPr>
              <w:spacing w:line="240" w:lineRule="auto"/>
              <w:rPr>
                <w:rFonts w:ascii="Times New Roman" w:hAnsi="Times New Roman"/>
                <w:szCs w:val="24"/>
              </w:rPr>
            </w:pPr>
            <w:r>
              <w:rPr>
                <w:rFonts w:ascii="Times New Roman" w:hAnsi="Times New Roman"/>
                <w:b/>
                <w:i/>
                <w:szCs w:val="24"/>
              </w:rPr>
              <w:drawing>
                <wp:inline distT="0" distB="0" distL="114300" distR="114300">
                  <wp:extent cx="1642110" cy="657225"/>
                  <wp:effectExtent l="0" t="0" r="0" b="9525"/>
                  <wp:docPr id="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4"/>
                          <pic:cNvPicPr>
                            <a:picLocks noChangeAspect="1"/>
                          </pic:cNvPicPr>
                        </pic:nvPicPr>
                        <pic:blipFill>
                          <a:blip r:embed="rId72"/>
                          <a:stretch>
                            <a:fillRect/>
                          </a:stretch>
                        </pic:blipFill>
                        <pic:spPr>
                          <a:xfrm>
                            <a:off x="0" y="0"/>
                            <a:ext cx="1642110" cy="657225"/>
                          </a:xfrm>
                          <a:prstGeom prst="rect">
                            <a:avLst/>
                          </a:prstGeom>
                          <a:noFill/>
                          <a:ln>
                            <a:noFill/>
                          </a:ln>
                        </pic:spPr>
                      </pic:pic>
                    </a:graphicData>
                  </a:graphic>
                </wp:inline>
              </w:drawing>
            </w:r>
          </w:p>
        </w:tc>
      </w:tr>
      <w:tr w14:paraId="018A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9378" w:type="dxa"/>
            <w:gridSpan w:val="3"/>
            <w:tcBorders>
              <w:top w:val="nil"/>
              <w:left w:val="single" w:color="auto" w:sz="4" w:space="0"/>
            </w:tcBorders>
            <w:vAlign w:val="center"/>
          </w:tcPr>
          <w:p w14:paraId="05ED7415">
            <w:pPr>
              <w:spacing w:before="240" w:line="240" w:lineRule="auto"/>
              <w:jc w:val="center"/>
              <w:rPr>
                <w:rFonts w:ascii="Times New Roman" w:hAnsi="Times New Roman"/>
                <w:b/>
                <w:szCs w:val="24"/>
              </w:rPr>
            </w:pPr>
            <w:r>
              <w:rPr>
                <w:rFonts w:ascii="Times New Roman" w:hAnsi="Times New Roman"/>
                <w:b/>
                <w:szCs w:val="24"/>
              </w:rPr>
              <w:t>DOCUMENT TITLE: DESIGN REPORT FOR KIMAWACO OFFICE ABLUTION BLOCK</w:t>
            </w:r>
          </w:p>
        </w:tc>
      </w:tr>
    </w:tbl>
    <w:p w14:paraId="4AB296C6">
      <w:pPr>
        <w:spacing w:line="240" w:lineRule="auto"/>
        <w:jc w:val="center"/>
        <w:rPr>
          <w:rFonts w:ascii="Times New Roman" w:hAnsi="Times New Roman"/>
          <w:szCs w:val="24"/>
        </w:rPr>
      </w:pPr>
    </w:p>
    <w:p w14:paraId="404F17DA">
      <w:pPr>
        <w:spacing w:line="240" w:lineRule="auto"/>
        <w:jc w:val="center"/>
        <w:rPr>
          <w:rFonts w:ascii="Times New Roman" w:hAnsi="Times New Roman" w:eastAsia="DengXian"/>
          <w:b/>
          <w:szCs w:val="24"/>
        </w:rPr>
      </w:pPr>
      <w:r>
        <w:rPr>
          <w:rFonts w:ascii="Times New Roman" w:hAnsi="Times New Roman" w:eastAsia="DengXian"/>
          <w:b/>
          <w:szCs w:val="24"/>
        </w:rPr>
        <w:t>VERSION 01</w:t>
      </w:r>
    </w:p>
    <w:p w14:paraId="3552D70B">
      <w:pPr>
        <w:spacing w:line="240" w:lineRule="auto"/>
        <w:jc w:val="center"/>
        <w:rPr>
          <w:rFonts w:ascii="Times New Roman" w:hAnsi="Times New Roman" w:eastAsia="DengXian"/>
          <w:b/>
          <w:szCs w:val="24"/>
        </w:rPr>
      </w:pPr>
      <w:r>
        <w:rPr>
          <w:rFonts w:ascii="Times New Roman" w:hAnsi="Times New Roman" w:eastAsia="DengXian"/>
          <w:b/>
          <w:szCs w:val="24"/>
        </w:rPr>
        <w:t>RECORDS FOR REVISION</w:t>
      </w:r>
    </w:p>
    <w:p w14:paraId="46109A76">
      <w:pPr>
        <w:spacing w:line="240" w:lineRule="auto"/>
        <w:jc w:val="center"/>
        <w:rPr>
          <w:rFonts w:ascii="Times New Roman" w:hAnsi="Times New Roman"/>
          <w:b/>
          <w:szCs w:val="24"/>
        </w:rPr>
      </w:pPr>
    </w:p>
    <w:tbl>
      <w:tblPr>
        <w:tblStyle w:val="7"/>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327"/>
        <w:gridCol w:w="3245"/>
        <w:gridCol w:w="1705"/>
        <w:gridCol w:w="1170"/>
        <w:gridCol w:w="1260"/>
      </w:tblGrid>
      <w:tr w14:paraId="72C6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28" w:type="dxa"/>
            <w:tcBorders>
              <w:bottom w:val="single" w:color="auto" w:sz="4" w:space="0"/>
            </w:tcBorders>
            <w:shd w:val="clear" w:color="auto" w:fill="D8D8D8"/>
            <w:vAlign w:val="center"/>
          </w:tcPr>
          <w:p w14:paraId="06027611">
            <w:pPr>
              <w:spacing w:after="200" w:line="240" w:lineRule="auto"/>
              <w:jc w:val="center"/>
              <w:rPr>
                <w:rFonts w:ascii="Times New Roman" w:hAnsi="Times New Roman" w:eastAsia="DengXian"/>
                <w:b/>
                <w:sz w:val="18"/>
                <w:szCs w:val="18"/>
              </w:rPr>
            </w:pPr>
            <w:r>
              <w:rPr>
                <w:rFonts w:ascii="Times New Roman" w:hAnsi="Times New Roman" w:eastAsia="DengXian"/>
                <w:b/>
                <w:sz w:val="18"/>
                <w:szCs w:val="18"/>
              </w:rPr>
              <w:t>VER.:</w:t>
            </w:r>
          </w:p>
        </w:tc>
        <w:tc>
          <w:tcPr>
            <w:tcW w:w="1327" w:type="dxa"/>
            <w:tcBorders>
              <w:bottom w:val="single" w:color="auto" w:sz="4" w:space="0"/>
            </w:tcBorders>
            <w:shd w:val="clear" w:color="auto" w:fill="D8D8D8"/>
            <w:vAlign w:val="center"/>
          </w:tcPr>
          <w:p w14:paraId="27780B72">
            <w:pPr>
              <w:spacing w:after="200" w:line="240" w:lineRule="auto"/>
              <w:jc w:val="center"/>
              <w:rPr>
                <w:rFonts w:ascii="Times New Roman" w:hAnsi="Times New Roman" w:eastAsia="DengXian"/>
                <w:b/>
                <w:sz w:val="18"/>
                <w:szCs w:val="18"/>
              </w:rPr>
            </w:pPr>
            <w:r>
              <w:rPr>
                <w:rFonts w:ascii="Times New Roman" w:hAnsi="Times New Roman" w:eastAsia="DengXian"/>
                <w:b/>
                <w:sz w:val="18"/>
                <w:szCs w:val="18"/>
              </w:rPr>
              <w:t>DATE:</w:t>
            </w:r>
          </w:p>
        </w:tc>
        <w:tc>
          <w:tcPr>
            <w:tcW w:w="3245" w:type="dxa"/>
            <w:tcBorders>
              <w:bottom w:val="single" w:color="auto" w:sz="4" w:space="0"/>
            </w:tcBorders>
            <w:shd w:val="clear" w:color="auto" w:fill="D8D8D8"/>
            <w:vAlign w:val="center"/>
          </w:tcPr>
          <w:p w14:paraId="435BE0C4">
            <w:pPr>
              <w:spacing w:line="240" w:lineRule="auto"/>
              <w:jc w:val="center"/>
              <w:rPr>
                <w:rFonts w:ascii="Times New Roman" w:hAnsi="Times New Roman" w:eastAsia="DengXian"/>
                <w:b/>
                <w:sz w:val="18"/>
                <w:szCs w:val="18"/>
              </w:rPr>
            </w:pPr>
            <w:r>
              <w:rPr>
                <w:rFonts w:ascii="Times New Roman" w:hAnsi="Times New Roman" w:eastAsia="DengXian"/>
                <w:b/>
                <w:sz w:val="18"/>
                <w:szCs w:val="18"/>
              </w:rPr>
              <w:t>DESCRIPTION/PURPOSE OF ISSUE:</w:t>
            </w:r>
          </w:p>
        </w:tc>
        <w:tc>
          <w:tcPr>
            <w:tcW w:w="1705" w:type="dxa"/>
            <w:tcBorders>
              <w:bottom w:val="single" w:color="auto" w:sz="4" w:space="0"/>
            </w:tcBorders>
            <w:shd w:val="clear" w:color="auto" w:fill="D8D8D8"/>
            <w:vAlign w:val="center"/>
          </w:tcPr>
          <w:p w14:paraId="36CA9C91">
            <w:pPr>
              <w:spacing w:line="240" w:lineRule="auto"/>
              <w:jc w:val="center"/>
              <w:rPr>
                <w:rFonts w:ascii="Times New Roman" w:hAnsi="Times New Roman" w:eastAsia="DengXian"/>
                <w:b/>
                <w:sz w:val="18"/>
                <w:szCs w:val="18"/>
              </w:rPr>
            </w:pPr>
            <w:r>
              <w:rPr>
                <w:rFonts w:ascii="Times New Roman" w:hAnsi="Times New Roman" w:eastAsia="DengXian"/>
                <w:b/>
                <w:sz w:val="18"/>
                <w:szCs w:val="18"/>
              </w:rPr>
              <w:t>PREPARED BY:</w:t>
            </w:r>
          </w:p>
        </w:tc>
        <w:tc>
          <w:tcPr>
            <w:tcW w:w="1170" w:type="dxa"/>
            <w:tcBorders>
              <w:bottom w:val="single" w:color="auto" w:sz="4" w:space="0"/>
            </w:tcBorders>
            <w:shd w:val="clear" w:color="auto" w:fill="D8D8D8"/>
            <w:vAlign w:val="center"/>
          </w:tcPr>
          <w:p w14:paraId="15E52698">
            <w:pPr>
              <w:spacing w:line="240" w:lineRule="auto"/>
              <w:jc w:val="center"/>
              <w:rPr>
                <w:rFonts w:ascii="Times New Roman" w:hAnsi="Times New Roman" w:eastAsia="DengXian"/>
                <w:b/>
                <w:sz w:val="18"/>
                <w:szCs w:val="18"/>
              </w:rPr>
            </w:pPr>
            <w:r>
              <w:rPr>
                <w:rFonts w:ascii="Times New Roman" w:hAnsi="Times New Roman" w:eastAsia="DengXian"/>
                <w:b/>
                <w:sz w:val="18"/>
                <w:szCs w:val="18"/>
              </w:rPr>
              <w:t>CHECKED BY:</w:t>
            </w:r>
          </w:p>
        </w:tc>
        <w:tc>
          <w:tcPr>
            <w:tcW w:w="1260" w:type="dxa"/>
            <w:tcBorders>
              <w:bottom w:val="single" w:color="auto" w:sz="4" w:space="0"/>
            </w:tcBorders>
            <w:shd w:val="clear" w:color="auto" w:fill="D8D8D8"/>
            <w:vAlign w:val="center"/>
          </w:tcPr>
          <w:p w14:paraId="13064660">
            <w:pPr>
              <w:spacing w:line="240" w:lineRule="auto"/>
              <w:jc w:val="center"/>
              <w:rPr>
                <w:rFonts w:ascii="Times New Roman" w:hAnsi="Times New Roman" w:eastAsia="DengXian"/>
                <w:b/>
                <w:sz w:val="18"/>
                <w:szCs w:val="18"/>
              </w:rPr>
            </w:pPr>
            <w:r>
              <w:rPr>
                <w:rFonts w:ascii="Times New Roman" w:hAnsi="Times New Roman" w:eastAsia="DengXian"/>
                <w:b/>
                <w:sz w:val="18"/>
                <w:szCs w:val="18"/>
              </w:rPr>
              <w:t>APPROVED BY:</w:t>
            </w:r>
          </w:p>
        </w:tc>
      </w:tr>
      <w:tr w14:paraId="0193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828" w:type="dxa"/>
            <w:vAlign w:val="center"/>
          </w:tcPr>
          <w:p w14:paraId="45B63805">
            <w:pPr>
              <w:spacing w:line="240" w:lineRule="auto"/>
              <w:jc w:val="center"/>
              <w:rPr>
                <w:rFonts w:ascii="Times New Roman" w:hAnsi="Times New Roman" w:eastAsia="DengXian"/>
                <w:sz w:val="18"/>
                <w:szCs w:val="18"/>
              </w:rPr>
            </w:pPr>
            <w:r>
              <w:rPr>
                <w:rFonts w:ascii="Times New Roman" w:hAnsi="Times New Roman" w:eastAsia="DengXian"/>
                <w:sz w:val="18"/>
                <w:szCs w:val="18"/>
              </w:rPr>
              <w:t>01</w:t>
            </w:r>
          </w:p>
        </w:tc>
        <w:tc>
          <w:tcPr>
            <w:tcW w:w="1327" w:type="dxa"/>
            <w:vAlign w:val="center"/>
          </w:tcPr>
          <w:p w14:paraId="7A9000F0">
            <w:pPr>
              <w:spacing w:line="240" w:lineRule="auto"/>
              <w:jc w:val="center"/>
              <w:rPr>
                <w:rFonts w:ascii="Times New Roman" w:hAnsi="Times New Roman" w:eastAsia="DengXian"/>
                <w:sz w:val="18"/>
                <w:szCs w:val="18"/>
              </w:rPr>
            </w:pPr>
            <w:r>
              <w:rPr>
                <w:rFonts w:ascii="Times New Roman" w:hAnsi="Times New Roman" w:eastAsia="DengXian"/>
                <w:sz w:val="18"/>
                <w:szCs w:val="18"/>
              </w:rPr>
              <w:t>8</w:t>
            </w:r>
            <w:r>
              <w:rPr>
                <w:rFonts w:ascii="Times New Roman" w:hAnsi="Times New Roman" w:eastAsia="DengXian"/>
                <w:sz w:val="18"/>
                <w:szCs w:val="18"/>
                <w:vertAlign w:val="superscript"/>
              </w:rPr>
              <w:t>th</w:t>
            </w:r>
            <w:r>
              <w:rPr>
                <w:rFonts w:ascii="Times New Roman" w:hAnsi="Times New Roman" w:eastAsia="DengXian"/>
                <w:sz w:val="18"/>
                <w:szCs w:val="18"/>
              </w:rPr>
              <w:t xml:space="preserve"> October 2025</w:t>
            </w:r>
          </w:p>
        </w:tc>
        <w:tc>
          <w:tcPr>
            <w:tcW w:w="3245" w:type="dxa"/>
            <w:vAlign w:val="center"/>
          </w:tcPr>
          <w:p w14:paraId="0180F153">
            <w:pPr>
              <w:spacing w:line="240" w:lineRule="auto"/>
              <w:rPr>
                <w:rFonts w:ascii="Times New Roman" w:hAnsi="Times New Roman" w:eastAsia="DengXian"/>
                <w:b/>
                <w:sz w:val="18"/>
                <w:szCs w:val="18"/>
              </w:rPr>
            </w:pPr>
            <w:r>
              <w:rPr>
                <w:rFonts w:ascii="Times New Roman" w:hAnsi="Times New Roman" w:eastAsia="DengXian"/>
                <w:b/>
                <w:sz w:val="18"/>
                <w:szCs w:val="18"/>
              </w:rPr>
              <w:t>DESIGN REPORT FOR KIMAWASCO ABLUTION BLOCK</w:t>
            </w:r>
          </w:p>
        </w:tc>
        <w:tc>
          <w:tcPr>
            <w:tcW w:w="1705" w:type="dxa"/>
            <w:vAlign w:val="center"/>
          </w:tcPr>
          <w:p w14:paraId="4AB6B3A0">
            <w:pPr>
              <w:spacing w:line="240" w:lineRule="auto"/>
              <w:jc w:val="center"/>
              <w:rPr>
                <w:rFonts w:ascii="Times New Roman" w:hAnsi="Times New Roman" w:eastAsia="DengXian"/>
                <w:sz w:val="18"/>
                <w:szCs w:val="18"/>
              </w:rPr>
            </w:pPr>
            <w:r>
              <w:rPr>
                <w:rFonts w:ascii="Times New Roman" w:hAnsi="Times New Roman" w:eastAsia="DengXian"/>
                <w:sz w:val="18"/>
                <w:szCs w:val="18"/>
              </w:rPr>
              <w:t>M.Kioko</w:t>
            </w:r>
          </w:p>
          <w:p w14:paraId="5E15DCFD">
            <w:pPr>
              <w:spacing w:line="240" w:lineRule="auto"/>
              <w:jc w:val="center"/>
              <w:rPr>
                <w:rFonts w:ascii="Times New Roman" w:hAnsi="Times New Roman" w:eastAsia="DengXian"/>
                <w:sz w:val="18"/>
                <w:szCs w:val="18"/>
              </w:rPr>
            </w:pPr>
            <w:r>
              <w:rPr>
                <w:rFonts w:ascii="Times New Roman" w:hAnsi="Times New Roman" w:eastAsia="DengXian"/>
                <w:sz w:val="18"/>
                <w:szCs w:val="18"/>
              </w:rPr>
              <w:t xml:space="preserve"> </w:t>
            </w:r>
          </w:p>
          <w:p w14:paraId="07CBAF61">
            <w:pPr>
              <w:spacing w:line="240" w:lineRule="auto"/>
              <w:jc w:val="center"/>
              <w:rPr>
                <w:rFonts w:ascii="Times New Roman" w:hAnsi="Times New Roman" w:eastAsia="DengXian"/>
                <w:sz w:val="18"/>
                <w:szCs w:val="18"/>
              </w:rPr>
            </w:pPr>
            <w:r>
              <w:rPr>
                <w:rFonts w:ascii="Times New Roman" w:hAnsi="Times New Roman" w:eastAsia="DengXian"/>
                <w:sz w:val="18"/>
                <w:szCs w:val="18"/>
              </w:rPr>
              <w:t>-----------</w:t>
            </w:r>
          </w:p>
        </w:tc>
        <w:tc>
          <w:tcPr>
            <w:tcW w:w="1170" w:type="dxa"/>
            <w:vAlign w:val="center"/>
          </w:tcPr>
          <w:p w14:paraId="2C13CB12">
            <w:pPr>
              <w:spacing w:line="240" w:lineRule="auto"/>
              <w:jc w:val="center"/>
              <w:rPr>
                <w:rFonts w:ascii="Times New Roman" w:hAnsi="Times New Roman" w:eastAsia="DengXian"/>
                <w:sz w:val="18"/>
                <w:szCs w:val="18"/>
              </w:rPr>
            </w:pPr>
            <w:r>
              <w:rPr>
                <w:rFonts w:ascii="Times New Roman" w:hAnsi="Times New Roman" w:eastAsia="DengXian"/>
                <w:sz w:val="18"/>
                <w:szCs w:val="18"/>
              </w:rPr>
              <w:t>N. Hirani</w:t>
            </w:r>
          </w:p>
          <w:p w14:paraId="0E62392D">
            <w:pPr>
              <w:spacing w:line="240" w:lineRule="auto"/>
              <w:jc w:val="center"/>
              <w:rPr>
                <w:rFonts w:ascii="Times New Roman" w:hAnsi="Times New Roman" w:eastAsia="DengXian"/>
                <w:sz w:val="18"/>
                <w:szCs w:val="18"/>
              </w:rPr>
            </w:pPr>
          </w:p>
          <w:p w14:paraId="69381956">
            <w:pPr>
              <w:spacing w:line="240" w:lineRule="auto"/>
              <w:jc w:val="center"/>
              <w:rPr>
                <w:rFonts w:ascii="Times New Roman" w:hAnsi="Times New Roman" w:eastAsia="DengXian"/>
                <w:sz w:val="18"/>
                <w:szCs w:val="18"/>
              </w:rPr>
            </w:pPr>
            <w:r>
              <w:rPr>
                <w:rFonts w:ascii="Times New Roman" w:hAnsi="Times New Roman" w:eastAsia="DengXian"/>
                <w:sz w:val="18"/>
                <w:szCs w:val="18"/>
              </w:rPr>
              <w:t>----------</w:t>
            </w:r>
          </w:p>
        </w:tc>
        <w:tc>
          <w:tcPr>
            <w:tcW w:w="1260" w:type="dxa"/>
            <w:vAlign w:val="center"/>
          </w:tcPr>
          <w:p w14:paraId="2830D59B">
            <w:pPr>
              <w:spacing w:line="240" w:lineRule="auto"/>
              <w:jc w:val="center"/>
              <w:rPr>
                <w:rFonts w:ascii="Times New Roman" w:hAnsi="Times New Roman" w:eastAsia="DengXian"/>
                <w:sz w:val="18"/>
                <w:szCs w:val="18"/>
              </w:rPr>
            </w:pPr>
            <w:r>
              <w:rPr>
                <w:rFonts w:ascii="Times New Roman" w:hAnsi="Times New Roman" w:eastAsia="DengXian"/>
                <w:sz w:val="18"/>
                <w:szCs w:val="18"/>
              </w:rPr>
              <w:t>R.S. Rupra</w:t>
            </w:r>
          </w:p>
          <w:p w14:paraId="747F5B38">
            <w:pPr>
              <w:spacing w:line="240" w:lineRule="auto"/>
              <w:jc w:val="center"/>
              <w:rPr>
                <w:rFonts w:ascii="Times New Roman" w:hAnsi="Times New Roman" w:eastAsia="DengXian"/>
                <w:sz w:val="18"/>
                <w:szCs w:val="18"/>
              </w:rPr>
            </w:pPr>
          </w:p>
          <w:p w14:paraId="54DB7139">
            <w:pPr>
              <w:spacing w:line="240" w:lineRule="auto"/>
              <w:jc w:val="center"/>
              <w:rPr>
                <w:rFonts w:ascii="Times New Roman" w:hAnsi="Times New Roman" w:eastAsia="DengXian"/>
                <w:sz w:val="18"/>
                <w:szCs w:val="18"/>
              </w:rPr>
            </w:pPr>
            <w:r>
              <w:rPr>
                <w:rFonts w:ascii="Times New Roman" w:hAnsi="Times New Roman" w:eastAsia="DengXian"/>
                <w:sz w:val="18"/>
                <w:szCs w:val="18"/>
              </w:rPr>
              <w:t>------------</w:t>
            </w:r>
          </w:p>
        </w:tc>
      </w:tr>
    </w:tbl>
    <w:p w14:paraId="115DCF30">
      <w:pPr>
        <w:spacing w:before="201" w:line="240" w:lineRule="auto"/>
        <w:rPr>
          <w:rFonts w:ascii="Times New Roman" w:hAnsi="Times New Roman"/>
          <w:b/>
          <w:spacing w:val="-2"/>
          <w:szCs w:val="24"/>
        </w:rPr>
      </w:pPr>
    </w:p>
    <w:p w14:paraId="56E2270D">
      <w:pPr>
        <w:spacing w:before="201" w:line="240" w:lineRule="auto"/>
        <w:rPr>
          <w:rFonts w:ascii="Times New Roman" w:hAnsi="Times New Roman"/>
          <w:b/>
          <w:spacing w:val="-2"/>
          <w:szCs w:val="24"/>
        </w:rPr>
      </w:pPr>
    </w:p>
    <w:p w14:paraId="3D00EF0F">
      <w:pPr>
        <w:spacing w:before="201" w:line="240" w:lineRule="auto"/>
        <w:rPr>
          <w:rFonts w:ascii="Times New Roman" w:hAnsi="Times New Roman"/>
          <w:b/>
          <w:spacing w:val="-2"/>
          <w:szCs w:val="24"/>
        </w:rPr>
      </w:pPr>
    </w:p>
    <w:p w14:paraId="67DFDFA0">
      <w:pPr>
        <w:spacing w:before="201" w:line="240" w:lineRule="auto"/>
        <w:rPr>
          <w:rFonts w:ascii="Times New Roman" w:hAnsi="Times New Roman"/>
          <w:b/>
          <w:spacing w:val="-2"/>
          <w:szCs w:val="24"/>
        </w:rPr>
      </w:pPr>
    </w:p>
    <w:p w14:paraId="1292DA6A">
      <w:pPr>
        <w:pStyle w:val="36"/>
        <w:numPr>
          <w:ilvl w:val="0"/>
          <w:numId w:val="100"/>
        </w:numPr>
        <w:spacing w:line="240" w:lineRule="auto"/>
        <w:rPr>
          <w:rFonts w:ascii="Times New Roman" w:hAnsi="Times New Roman"/>
          <w:color w:val="auto"/>
          <w:sz w:val="24"/>
          <w:szCs w:val="24"/>
        </w:rPr>
      </w:pPr>
      <w:r>
        <w:rPr>
          <w:rFonts w:ascii="Times New Roman" w:hAnsi="Times New Roman"/>
          <w:color w:val="auto"/>
          <w:sz w:val="24"/>
          <w:szCs w:val="24"/>
        </w:rPr>
        <w:t>Table of Contents</w:t>
      </w:r>
    </w:p>
    <w:p w14:paraId="26D1CD75">
      <w:pPr>
        <w:pStyle w:val="23"/>
        <w:tabs>
          <w:tab w:val="right" w:leader="dot" w:pos="9590"/>
        </w:tabs>
        <w:rPr>
          <w:rFonts w:ascii="Times New Roman" w:hAnsi="Times New Roman"/>
        </w:rPr>
      </w:pPr>
      <w:r>
        <w:rPr>
          <w:rFonts w:ascii="Times New Roman" w:hAnsi="Times New Roman"/>
          <w:szCs w:val="24"/>
        </w:rPr>
        <w:fldChar w:fldCharType="begin"/>
      </w:r>
      <w:r>
        <w:rPr>
          <w:rFonts w:ascii="Times New Roman" w:hAnsi="Times New Roman"/>
          <w:szCs w:val="24"/>
        </w:rPr>
        <w:instrText xml:space="preserve"> TOC \o "1-3" \h \z \u </w:instrText>
      </w:r>
      <w:r>
        <w:rPr>
          <w:rFonts w:ascii="Times New Roman" w:hAnsi="Times New Roman"/>
          <w:szCs w:val="24"/>
        </w:rPr>
        <w:fldChar w:fldCharType="separate"/>
      </w:r>
      <w:r>
        <w:fldChar w:fldCharType="begin"/>
      </w:r>
      <w:r>
        <w:instrText xml:space="preserve"> HYPERLINK \l "_Toc15817" </w:instrText>
      </w:r>
      <w:r>
        <w:fldChar w:fldCharType="separate"/>
      </w:r>
      <w:r>
        <w:rPr>
          <w:rFonts w:ascii="Times New Roman" w:hAnsi="Times New Roman"/>
          <w:szCs w:val="24"/>
        </w:rPr>
        <w:t>DECLARATION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_Toc15817 \h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r>
        <w:rPr>
          <w:rFonts w:ascii="Times New Roman" w:hAnsi="Times New Roman"/>
        </w:rPr>
        <w:fldChar w:fldCharType="end"/>
      </w:r>
    </w:p>
    <w:p w14:paraId="59C3B6C7">
      <w:pPr>
        <w:pStyle w:val="23"/>
        <w:tabs>
          <w:tab w:val="right" w:leader="dot" w:pos="9590"/>
        </w:tabs>
        <w:rPr>
          <w:rFonts w:ascii="Times New Roman" w:hAnsi="Times New Roman"/>
        </w:rPr>
      </w:pPr>
      <w:r>
        <w:fldChar w:fldCharType="begin"/>
      </w:r>
      <w:r>
        <w:instrText xml:space="preserve"> HYPERLINK \l "_Toc20937" </w:instrText>
      </w:r>
      <w:r>
        <w:fldChar w:fldCharType="separate"/>
      </w:r>
      <w:r>
        <w:rPr>
          <w:rFonts w:ascii="Times New Roman" w:hAnsi="Times New Roman"/>
          <w:szCs w:val="24"/>
        </w:rPr>
        <w:t>EXECUTIVE SUMMARY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_Toc20937 \h </w:instrText>
      </w:r>
      <w:r>
        <w:rPr>
          <w:rFonts w:ascii="Times New Roman" w:hAnsi="Times New Roman"/>
        </w:rPr>
        <w:fldChar w:fldCharType="separate"/>
      </w:r>
      <w:r>
        <w:rPr>
          <w:rFonts w:ascii="Times New Roman" w:hAnsi="Times New Roman"/>
        </w:rPr>
        <w:t>iii</w:t>
      </w:r>
      <w:r>
        <w:rPr>
          <w:rFonts w:ascii="Times New Roman" w:hAnsi="Times New Roman"/>
        </w:rPr>
        <w:fldChar w:fldCharType="end"/>
      </w:r>
      <w:r>
        <w:rPr>
          <w:rFonts w:ascii="Times New Roman" w:hAnsi="Times New Roman"/>
        </w:rPr>
        <w:fldChar w:fldCharType="end"/>
      </w:r>
    </w:p>
    <w:p w14:paraId="4447CFC0">
      <w:pPr>
        <w:pStyle w:val="23"/>
        <w:tabs>
          <w:tab w:val="right" w:leader="dot" w:pos="9590"/>
        </w:tabs>
        <w:rPr>
          <w:rFonts w:ascii="Times New Roman" w:hAnsi="Times New Roman"/>
        </w:rPr>
      </w:pPr>
      <w:r>
        <w:fldChar w:fldCharType="begin"/>
      </w:r>
      <w:r>
        <w:instrText xml:space="preserve"> HYPERLINK \l "_Toc4137" </w:instrText>
      </w:r>
      <w:r>
        <w:fldChar w:fldCharType="separate"/>
      </w:r>
      <w:r>
        <w:rPr>
          <w:rFonts w:ascii="Times New Roman" w:hAnsi="Times New Roman"/>
          <w:szCs w:val="24"/>
        </w:rPr>
        <w:t>1 INTRODUCTION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_Toc4137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11F9E254">
      <w:pPr>
        <w:pStyle w:val="24"/>
        <w:tabs>
          <w:tab w:val="right" w:leader="dot" w:pos="9590"/>
        </w:tabs>
        <w:rPr>
          <w:rFonts w:ascii="Times New Roman" w:hAnsi="Times New Roman"/>
        </w:rPr>
      </w:pPr>
      <w:r>
        <w:fldChar w:fldCharType="begin"/>
      </w:r>
      <w:r>
        <w:instrText xml:space="preserve"> HYPERLINK \l "_Toc28762" </w:instrText>
      </w:r>
      <w:r>
        <w:fldChar w:fldCharType="separate"/>
      </w:r>
      <w:r>
        <w:rPr>
          <w:rFonts w:ascii="Times New Roman" w:hAnsi="Times New Roman"/>
          <w:szCs w:val="24"/>
        </w:rPr>
        <w:t>Need For the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_Toc28762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3A6C615F">
      <w:pPr>
        <w:pStyle w:val="24"/>
        <w:tabs>
          <w:tab w:val="right" w:leader="dot" w:pos="9590"/>
        </w:tabs>
        <w:rPr>
          <w:rFonts w:ascii="Times New Roman" w:hAnsi="Times New Roman"/>
        </w:rPr>
      </w:pPr>
      <w:r>
        <w:fldChar w:fldCharType="begin"/>
      </w:r>
      <w:r>
        <w:instrText xml:space="preserve"> HYPERLINK \l "_Toc7815" </w:instrText>
      </w:r>
      <w:r>
        <w:fldChar w:fldCharType="separate"/>
      </w:r>
      <w:r>
        <w:rPr>
          <w:rFonts w:ascii="Times New Roman" w:hAnsi="Times New Roman"/>
          <w:szCs w:val="24"/>
        </w:rPr>
        <w:t>The Terms of Reference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_Toc7815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6AE03D78">
      <w:pPr>
        <w:pStyle w:val="24"/>
        <w:tabs>
          <w:tab w:val="right" w:leader="dot" w:pos="9590"/>
        </w:tabs>
        <w:rPr>
          <w:rFonts w:ascii="Times New Roman" w:hAnsi="Times New Roman"/>
        </w:rPr>
      </w:pPr>
      <w:r>
        <w:fldChar w:fldCharType="begin"/>
      </w:r>
      <w:r>
        <w:instrText xml:space="preserve"> HYPERLINK \l "_Toc1461" </w:instrText>
      </w:r>
      <w:r>
        <w:fldChar w:fldCharType="separate"/>
      </w:r>
      <w:r>
        <w:rPr>
          <w:rFonts w:ascii="Times New Roman" w:hAnsi="Times New Roman"/>
          <w:szCs w:val="24"/>
        </w:rPr>
        <w:t>ESIA Objectives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_Toc1461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37A31B22">
      <w:pPr>
        <w:pStyle w:val="24"/>
        <w:tabs>
          <w:tab w:val="right" w:leader="dot" w:pos="9590"/>
        </w:tabs>
        <w:rPr>
          <w:rFonts w:ascii="Times New Roman" w:hAnsi="Times New Roman"/>
        </w:rPr>
      </w:pPr>
      <w:r>
        <w:fldChar w:fldCharType="begin"/>
      </w:r>
      <w:r>
        <w:instrText xml:space="preserve"> HYPERLINK \l "_Toc8510" </w:instrText>
      </w:r>
      <w:r>
        <w:fldChar w:fldCharType="separate"/>
      </w:r>
      <w:r>
        <w:rPr>
          <w:rFonts w:ascii="Times New Roman" w:hAnsi="Times New Roman"/>
          <w:szCs w:val="24"/>
        </w:rPr>
        <w:t>Methodology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_Toc8510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0754A89E">
      <w:pPr>
        <w:pStyle w:val="25"/>
        <w:tabs>
          <w:tab w:val="right" w:leader="dot" w:pos="9590"/>
        </w:tabs>
        <w:rPr>
          <w:rFonts w:ascii="Times New Roman" w:hAnsi="Times New Roman"/>
        </w:rPr>
      </w:pPr>
      <w:r>
        <w:fldChar w:fldCharType="begin"/>
      </w:r>
      <w:r>
        <w:instrText xml:space="preserve"> HYPERLINK \l "_Toc10454" </w:instrText>
      </w:r>
      <w:r>
        <w:fldChar w:fldCharType="separate"/>
      </w:r>
      <w:r>
        <w:rPr>
          <w:rFonts w:ascii="Times New Roman" w:hAnsi="Times New Roman"/>
          <w:bCs/>
          <w:szCs w:val="24"/>
        </w:rPr>
        <w:t xml:space="preserve">1.1.1 </w:t>
      </w:r>
      <w:r>
        <w:rPr>
          <w:rFonts w:ascii="Times New Roman" w:hAnsi="Times New Roman"/>
          <w:szCs w:val="24"/>
        </w:rPr>
        <w:t>Environment and Social Scoping</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_Toc10454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55D570E4">
      <w:pPr>
        <w:pStyle w:val="25"/>
        <w:tabs>
          <w:tab w:val="right" w:leader="dot" w:pos="9590"/>
        </w:tabs>
        <w:rPr>
          <w:rFonts w:ascii="Times New Roman" w:hAnsi="Times New Roman"/>
        </w:rPr>
      </w:pPr>
      <w:r>
        <w:fldChar w:fldCharType="begin"/>
      </w:r>
      <w:r>
        <w:instrText xml:space="preserve"> HYPERLINK \l "_Toc23335" </w:instrText>
      </w:r>
      <w:r>
        <w:fldChar w:fldCharType="separate"/>
      </w:r>
      <w:r>
        <w:rPr>
          <w:rFonts w:ascii="Times New Roman" w:hAnsi="Times New Roman"/>
          <w:bCs/>
          <w:szCs w:val="24"/>
        </w:rPr>
        <w:t xml:space="preserve">1.1.2 </w:t>
      </w:r>
      <w:r>
        <w:rPr>
          <w:rFonts w:ascii="Times New Roman" w:hAnsi="Times New Roman"/>
          <w:szCs w:val="24"/>
        </w:rPr>
        <w:t>Stakeholder Consultations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_Toc23335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7858BD35">
      <w:pPr>
        <w:pStyle w:val="25"/>
        <w:tabs>
          <w:tab w:val="right" w:leader="dot" w:pos="9590"/>
        </w:tabs>
        <w:rPr>
          <w:rFonts w:ascii="Times New Roman" w:hAnsi="Times New Roman"/>
        </w:rPr>
      </w:pPr>
      <w:r>
        <w:fldChar w:fldCharType="begin"/>
      </w:r>
      <w:r>
        <w:instrText xml:space="preserve"> HYPERLINK \l "_Toc8663" </w:instrText>
      </w:r>
      <w:r>
        <w:fldChar w:fldCharType="separate"/>
      </w:r>
      <w:r>
        <w:rPr>
          <w:rFonts w:ascii="Times New Roman" w:hAnsi="Times New Roman"/>
          <w:bCs/>
          <w:szCs w:val="24"/>
        </w:rPr>
        <w:t xml:space="preserve">1.1.3 </w:t>
      </w:r>
      <w:r>
        <w:rPr>
          <w:rFonts w:ascii="Times New Roman" w:hAnsi="Times New Roman"/>
          <w:szCs w:val="24"/>
        </w:rPr>
        <w:t>Socio-economic Assessment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_Toc8663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14:paraId="7F5F870C">
      <w:pPr>
        <w:pStyle w:val="23"/>
        <w:tabs>
          <w:tab w:val="right" w:leader="dot" w:pos="9590"/>
        </w:tabs>
        <w:rPr>
          <w:rFonts w:ascii="Times New Roman" w:hAnsi="Times New Roman"/>
        </w:rPr>
      </w:pPr>
      <w:r>
        <w:fldChar w:fldCharType="begin"/>
      </w:r>
      <w:r>
        <w:instrText xml:space="preserve"> HYPERLINK \l "_Toc18956" </w:instrText>
      </w:r>
      <w:r>
        <w:fldChar w:fldCharType="separate"/>
      </w:r>
      <w:r>
        <w:rPr>
          <w:rFonts w:ascii="Times New Roman" w:hAnsi="Times New Roman"/>
          <w:szCs w:val="24"/>
        </w:rPr>
        <w:t>2 PROPOSED PROJECT DESCRIPTION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_Toc18956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0ECCCDAD">
      <w:pPr>
        <w:pStyle w:val="24"/>
        <w:tabs>
          <w:tab w:val="right" w:pos="2400"/>
          <w:tab w:val="right" w:leader="dot" w:pos="9590"/>
        </w:tabs>
        <w:rPr>
          <w:rFonts w:ascii="Times New Roman" w:hAnsi="Times New Roman"/>
        </w:rPr>
      </w:pPr>
      <w:r>
        <w:fldChar w:fldCharType="begin"/>
      </w:r>
      <w:r>
        <w:instrText xml:space="preserve"> HYPERLINK \l "_Toc23822" </w:instrText>
      </w:r>
      <w:r>
        <w:fldChar w:fldCharType="separate"/>
      </w:r>
      <w:r>
        <w:rPr>
          <w:rFonts w:ascii="Times New Roman" w:hAnsi="Times New Roman"/>
          <w:szCs w:val="24"/>
        </w:rPr>
        <w:t>2.1</w:t>
      </w:r>
      <w:r>
        <w:rPr>
          <w:rFonts w:ascii="Times New Roman" w:hAnsi="Times New Roman"/>
          <w:szCs w:val="24"/>
        </w:rPr>
        <w:tab/>
      </w:r>
      <w:r>
        <w:rPr>
          <w:rFonts w:ascii="Times New Roman" w:hAnsi="Times New Roman"/>
          <w:szCs w:val="24"/>
        </w:rPr>
        <w:t>Project Area Description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_Toc23822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61FB1221">
      <w:pPr>
        <w:pStyle w:val="25"/>
        <w:tabs>
          <w:tab w:val="right" w:leader="dot" w:pos="9590"/>
        </w:tabs>
        <w:rPr>
          <w:rFonts w:ascii="Times New Roman" w:hAnsi="Times New Roman"/>
        </w:rPr>
      </w:pPr>
      <w:r>
        <w:fldChar w:fldCharType="begin"/>
      </w:r>
      <w:r>
        <w:instrText xml:space="preserve"> HYPERLINK \l "_Toc16344" </w:instrText>
      </w:r>
      <w:r>
        <w:fldChar w:fldCharType="separate"/>
      </w:r>
      <w:r>
        <w:rPr>
          <w:rFonts w:ascii="Times New Roman" w:hAnsi="Times New Roman"/>
          <w:bCs/>
          <w:szCs w:val="24"/>
        </w:rPr>
        <w:t xml:space="preserve">2.1.1 </w:t>
      </w:r>
      <w:r>
        <w:rPr>
          <w:rFonts w:ascii="Times New Roman" w:hAnsi="Times New Roman"/>
          <w:szCs w:val="24"/>
        </w:rPr>
        <w:t>Location and Administration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_Toc16344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77F3633D">
      <w:pPr>
        <w:pStyle w:val="25"/>
        <w:tabs>
          <w:tab w:val="right" w:leader="dot" w:pos="9590"/>
        </w:tabs>
        <w:rPr>
          <w:rFonts w:ascii="Times New Roman" w:hAnsi="Times New Roman"/>
        </w:rPr>
      </w:pPr>
      <w:r>
        <w:fldChar w:fldCharType="begin"/>
      </w:r>
      <w:r>
        <w:instrText xml:space="preserve"> HYPERLINK \l "_Toc18424" </w:instrText>
      </w:r>
      <w:r>
        <w:fldChar w:fldCharType="separate"/>
      </w:r>
      <w:r>
        <w:rPr>
          <w:rFonts w:ascii="Times New Roman" w:hAnsi="Times New Roman"/>
          <w:bCs/>
          <w:szCs w:val="24"/>
        </w:rPr>
        <w:t xml:space="preserve">2.1.2 </w:t>
      </w:r>
      <w:r>
        <w:rPr>
          <w:rFonts w:ascii="Times New Roman" w:hAnsi="Times New Roman"/>
          <w:szCs w:val="24"/>
        </w:rPr>
        <w:t>Background to the proposed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_Toc18424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14:paraId="4F33008A">
      <w:pPr>
        <w:pStyle w:val="25"/>
        <w:tabs>
          <w:tab w:val="right" w:leader="dot" w:pos="9590"/>
        </w:tabs>
        <w:rPr>
          <w:rFonts w:ascii="Times New Roman" w:hAnsi="Times New Roman"/>
        </w:rPr>
      </w:pPr>
      <w:r>
        <w:fldChar w:fldCharType="begin"/>
      </w:r>
      <w:r>
        <w:instrText xml:space="preserve"> HYPERLINK \l "_Toc21068" </w:instrText>
      </w:r>
      <w:r>
        <w:fldChar w:fldCharType="separate"/>
      </w:r>
      <w:r>
        <w:rPr>
          <w:rFonts w:ascii="Times New Roman" w:hAnsi="Times New Roman"/>
          <w:bCs/>
          <w:szCs w:val="24"/>
        </w:rPr>
        <w:t xml:space="preserve">2.1.3 </w:t>
      </w:r>
      <w:r>
        <w:rPr>
          <w:rFonts w:ascii="Times New Roman" w:hAnsi="Times New Roman"/>
          <w:szCs w:val="24"/>
        </w:rPr>
        <w:t>Location for the Office</w:t>
      </w:r>
      <w:r>
        <w:rPr>
          <w:rFonts w:ascii="Times New Roman" w:hAnsi="Times New Roman"/>
          <w:szCs w:val="24"/>
          <w:lang w:val="en-US"/>
        </w:rPr>
        <w:t xml:space="preserve"> Site</w:t>
      </w:r>
      <w:r>
        <w:rPr>
          <w:rFonts w:ascii="Times New Roman" w:hAnsi="Times New Roman"/>
          <w:szCs w:val="24"/>
        </w:rPr>
        <w:t xml:space="preserve"> ablution block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_Toc21068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14:paraId="72A87ED4">
      <w:pPr>
        <w:pStyle w:val="24"/>
        <w:tabs>
          <w:tab w:val="right" w:leader="dot" w:pos="9590"/>
        </w:tabs>
        <w:rPr>
          <w:rFonts w:ascii="Times New Roman" w:hAnsi="Times New Roman"/>
        </w:rPr>
      </w:pPr>
      <w:r>
        <w:fldChar w:fldCharType="begin"/>
      </w:r>
      <w:r>
        <w:instrText xml:space="preserve"> HYPERLINK \l "_Toc28330" </w:instrText>
      </w:r>
      <w:r>
        <w:fldChar w:fldCharType="separate"/>
      </w:r>
      <w:r>
        <w:rPr>
          <w:rFonts w:ascii="Times New Roman" w:hAnsi="Times New Roman"/>
          <w:szCs w:val="24"/>
        </w:rPr>
        <w:t>Existing Water Supply, Demand and Sanitation Systems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_Toc28330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14:paraId="45167CE8">
      <w:pPr>
        <w:pStyle w:val="25"/>
        <w:tabs>
          <w:tab w:val="right" w:leader="dot" w:pos="9590"/>
        </w:tabs>
        <w:rPr>
          <w:rFonts w:ascii="Times New Roman" w:hAnsi="Times New Roman"/>
        </w:rPr>
      </w:pPr>
      <w:r>
        <w:fldChar w:fldCharType="begin"/>
      </w:r>
      <w:r>
        <w:instrText xml:space="preserve"> HYPERLINK \l "_Toc15666" </w:instrText>
      </w:r>
      <w:r>
        <w:fldChar w:fldCharType="separate"/>
      </w:r>
      <w:r>
        <w:rPr>
          <w:rFonts w:ascii="Times New Roman" w:hAnsi="Times New Roman"/>
          <w:bCs/>
          <w:szCs w:val="24"/>
        </w:rPr>
        <w:t xml:space="preserve">2.1.4 </w:t>
      </w:r>
      <w:r>
        <w:rPr>
          <w:rFonts w:ascii="Times New Roman" w:hAnsi="Times New Roman"/>
          <w:szCs w:val="24"/>
        </w:rPr>
        <w:t>Water Supply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_Toc15666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14:paraId="0AC2ADB8">
      <w:pPr>
        <w:pStyle w:val="25"/>
        <w:tabs>
          <w:tab w:val="right" w:leader="dot" w:pos="9590"/>
        </w:tabs>
        <w:rPr>
          <w:rFonts w:ascii="Times New Roman" w:hAnsi="Times New Roman"/>
        </w:rPr>
      </w:pPr>
      <w:r>
        <w:fldChar w:fldCharType="begin"/>
      </w:r>
      <w:r>
        <w:instrText xml:space="preserve"> HYPERLINK \l "_Toc9632" </w:instrText>
      </w:r>
      <w:r>
        <w:fldChar w:fldCharType="separate"/>
      </w:r>
      <w:r>
        <w:rPr>
          <w:rFonts w:ascii="Times New Roman" w:hAnsi="Times New Roman"/>
          <w:bCs/>
          <w:szCs w:val="24"/>
        </w:rPr>
        <w:t xml:space="preserve">2.1.5 </w:t>
      </w:r>
      <w:r>
        <w:rPr>
          <w:rFonts w:ascii="Times New Roman" w:hAnsi="Times New Roman"/>
          <w:szCs w:val="24"/>
        </w:rPr>
        <w:t>The Ablution Block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_Toc9632 \h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fldChar w:fldCharType="end"/>
      </w:r>
    </w:p>
    <w:p w14:paraId="698F32B9">
      <w:pPr>
        <w:pStyle w:val="25"/>
        <w:tabs>
          <w:tab w:val="right" w:leader="dot" w:pos="9590"/>
        </w:tabs>
        <w:rPr>
          <w:rFonts w:ascii="Times New Roman" w:hAnsi="Times New Roman"/>
        </w:rPr>
      </w:pPr>
      <w:r>
        <w:fldChar w:fldCharType="begin"/>
      </w:r>
      <w:r>
        <w:instrText xml:space="preserve"> HYPERLINK \l "_Toc29553" </w:instrText>
      </w:r>
      <w:r>
        <w:fldChar w:fldCharType="separate"/>
      </w:r>
      <w:r>
        <w:rPr>
          <w:rFonts w:ascii="Times New Roman" w:hAnsi="Times New Roman"/>
          <w:bCs/>
          <w:szCs w:val="24"/>
        </w:rPr>
        <w:t xml:space="preserve">2.1.6 </w:t>
      </w:r>
      <w:r>
        <w:rPr>
          <w:rFonts w:ascii="Times New Roman" w:hAnsi="Times New Roman"/>
          <w:szCs w:val="24"/>
        </w:rPr>
        <w:t>Implementation Cost for Immediate Measures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_Toc29553 \h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14:paraId="3599DCF7">
      <w:pPr>
        <w:pStyle w:val="23"/>
        <w:tabs>
          <w:tab w:val="right" w:leader="dot" w:pos="9590"/>
        </w:tabs>
        <w:rPr>
          <w:rFonts w:ascii="Times New Roman" w:hAnsi="Times New Roman"/>
        </w:rPr>
      </w:pPr>
      <w:r>
        <w:fldChar w:fldCharType="begin"/>
      </w:r>
      <w:r>
        <w:instrText xml:space="preserve"> HYPERLINK \l "_Toc11038" </w:instrText>
      </w:r>
      <w:r>
        <w:fldChar w:fldCharType="separate"/>
      </w:r>
      <w:r>
        <w:rPr>
          <w:rFonts w:ascii="Times New Roman" w:hAnsi="Times New Roman"/>
          <w:szCs w:val="24"/>
        </w:rPr>
        <w:t>3 BASELINE CONDITIONS OF AFFECTED ENVIRONMENT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_Toc11038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fldChar w:fldCharType="end"/>
      </w:r>
    </w:p>
    <w:p w14:paraId="6ABECFF0">
      <w:pPr>
        <w:pStyle w:val="24"/>
        <w:tabs>
          <w:tab w:val="right" w:pos="2400"/>
          <w:tab w:val="right" w:leader="dot" w:pos="9590"/>
        </w:tabs>
        <w:rPr>
          <w:rFonts w:ascii="Times New Roman" w:hAnsi="Times New Roman"/>
        </w:rPr>
      </w:pPr>
      <w:r>
        <w:fldChar w:fldCharType="begin"/>
      </w:r>
      <w:r>
        <w:instrText xml:space="preserve"> HYPERLINK \l "_Toc15722" </w:instrText>
      </w:r>
      <w:r>
        <w:fldChar w:fldCharType="separate"/>
      </w:r>
      <w:r>
        <w:rPr>
          <w:rFonts w:ascii="Times New Roman" w:hAnsi="Times New Roman"/>
          <w:szCs w:val="24"/>
        </w:rPr>
        <w:t>3.1</w:t>
      </w:r>
      <w:r>
        <w:rPr>
          <w:rFonts w:ascii="Times New Roman" w:hAnsi="Times New Roman"/>
          <w:szCs w:val="24"/>
        </w:rPr>
        <w:tab/>
      </w:r>
      <w:r>
        <w:rPr>
          <w:rFonts w:ascii="Times New Roman" w:hAnsi="Times New Roman"/>
          <w:szCs w:val="24"/>
        </w:rPr>
        <w:t>Flora and fauna</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_Toc15722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fldChar w:fldCharType="end"/>
      </w:r>
    </w:p>
    <w:p w14:paraId="353C0CB8">
      <w:pPr>
        <w:pStyle w:val="24"/>
        <w:tabs>
          <w:tab w:val="right" w:leader="dot" w:pos="9590"/>
        </w:tabs>
        <w:rPr>
          <w:rFonts w:ascii="Times New Roman" w:hAnsi="Times New Roman"/>
        </w:rPr>
      </w:pPr>
      <w:r>
        <w:fldChar w:fldCharType="begin"/>
      </w:r>
      <w:r>
        <w:instrText xml:space="preserve"> HYPERLINK \l "_Toc17535" </w:instrText>
      </w:r>
      <w:r>
        <w:fldChar w:fldCharType="separate"/>
      </w:r>
      <w:r>
        <w:rPr>
          <w:rFonts w:ascii="Times New Roman" w:hAnsi="Times New Roman"/>
          <w:szCs w:val="24"/>
        </w:rPr>
        <w:t>Socio-Economic activities and Infrastructure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_Toc17535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fldChar w:fldCharType="end"/>
      </w:r>
    </w:p>
    <w:p w14:paraId="5BC0C336">
      <w:pPr>
        <w:pStyle w:val="25"/>
        <w:tabs>
          <w:tab w:val="right" w:leader="dot" w:pos="9590"/>
        </w:tabs>
        <w:rPr>
          <w:rFonts w:ascii="Times New Roman" w:hAnsi="Times New Roman"/>
        </w:rPr>
      </w:pPr>
      <w:r>
        <w:fldChar w:fldCharType="begin"/>
      </w:r>
      <w:r>
        <w:instrText xml:space="preserve"> HYPERLINK \l "_Toc30593" </w:instrText>
      </w:r>
      <w:r>
        <w:fldChar w:fldCharType="separate"/>
      </w:r>
      <w:r>
        <w:rPr>
          <w:rFonts w:ascii="Times New Roman" w:hAnsi="Times New Roman"/>
          <w:bCs/>
          <w:szCs w:val="24"/>
        </w:rPr>
        <w:t xml:space="preserve">3.1.1 </w:t>
      </w:r>
      <w:r>
        <w:rPr>
          <w:rFonts w:ascii="Times New Roman" w:hAnsi="Times New Roman"/>
          <w:szCs w:val="24"/>
        </w:rPr>
        <w:t>Economic Activities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_Toc30593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fldChar w:fldCharType="end"/>
      </w:r>
    </w:p>
    <w:p w14:paraId="0D0DDCB1">
      <w:pPr>
        <w:pStyle w:val="25"/>
        <w:tabs>
          <w:tab w:val="right" w:leader="dot" w:pos="9590"/>
        </w:tabs>
        <w:rPr>
          <w:rFonts w:ascii="Times New Roman" w:hAnsi="Times New Roman"/>
        </w:rPr>
      </w:pPr>
      <w:r>
        <w:fldChar w:fldCharType="begin"/>
      </w:r>
      <w:r>
        <w:instrText xml:space="preserve"> HYPERLINK \l "_Toc16171" </w:instrText>
      </w:r>
      <w:r>
        <w:fldChar w:fldCharType="separate"/>
      </w:r>
      <w:r>
        <w:rPr>
          <w:rFonts w:ascii="Times New Roman" w:hAnsi="Times New Roman"/>
          <w:bCs/>
          <w:szCs w:val="24"/>
        </w:rPr>
        <w:t xml:space="preserve">3.1.2 </w:t>
      </w:r>
      <w:r>
        <w:rPr>
          <w:rFonts w:ascii="Times New Roman" w:hAnsi="Times New Roman"/>
          <w:szCs w:val="24"/>
        </w:rPr>
        <w:t>Land Use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_Toc16171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14:paraId="67D81F41">
      <w:pPr>
        <w:pStyle w:val="25"/>
        <w:tabs>
          <w:tab w:val="right" w:leader="dot" w:pos="9590"/>
        </w:tabs>
        <w:rPr>
          <w:rFonts w:ascii="Times New Roman" w:hAnsi="Times New Roman"/>
        </w:rPr>
      </w:pPr>
      <w:r>
        <w:fldChar w:fldCharType="begin"/>
      </w:r>
      <w:r>
        <w:instrText xml:space="preserve"> HYPERLINK \l "_Toc22985" </w:instrText>
      </w:r>
      <w:r>
        <w:fldChar w:fldCharType="separate"/>
      </w:r>
      <w:r>
        <w:rPr>
          <w:rFonts w:ascii="Times New Roman" w:hAnsi="Times New Roman"/>
          <w:bCs/>
          <w:szCs w:val="24"/>
        </w:rPr>
        <w:t xml:space="preserve">3.1.3 </w:t>
      </w:r>
      <w:r>
        <w:rPr>
          <w:rFonts w:ascii="Times New Roman" w:hAnsi="Times New Roman"/>
          <w:szCs w:val="24"/>
        </w:rPr>
        <w:t>Access to Energy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_Toc22985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rPr>
        <w:fldChar w:fldCharType="end"/>
      </w:r>
    </w:p>
    <w:p w14:paraId="69340037">
      <w:pPr>
        <w:pStyle w:val="25"/>
        <w:tabs>
          <w:tab w:val="right" w:leader="dot" w:pos="9590"/>
        </w:tabs>
        <w:rPr>
          <w:rFonts w:ascii="Times New Roman" w:hAnsi="Times New Roman"/>
        </w:rPr>
      </w:pPr>
      <w:r>
        <w:fldChar w:fldCharType="begin"/>
      </w:r>
      <w:r>
        <w:instrText xml:space="preserve"> HYPERLINK \l "_Toc14859" </w:instrText>
      </w:r>
      <w:r>
        <w:fldChar w:fldCharType="separate"/>
      </w:r>
      <w:r>
        <w:rPr>
          <w:rFonts w:ascii="Times New Roman" w:hAnsi="Times New Roman"/>
          <w:bCs/>
          <w:szCs w:val="24"/>
        </w:rPr>
        <w:t xml:space="preserve">3.1.4 </w:t>
      </w:r>
      <w:r>
        <w:rPr>
          <w:rFonts w:ascii="Times New Roman" w:hAnsi="Times New Roman"/>
          <w:szCs w:val="24"/>
        </w:rPr>
        <w:t>Population Density and Distribution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_Toc14859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fldChar w:fldCharType="end"/>
      </w:r>
    </w:p>
    <w:p w14:paraId="0AF924A3">
      <w:pPr>
        <w:pStyle w:val="25"/>
        <w:tabs>
          <w:tab w:val="right" w:leader="dot" w:pos="9590"/>
        </w:tabs>
        <w:rPr>
          <w:rFonts w:ascii="Times New Roman" w:hAnsi="Times New Roman"/>
        </w:rPr>
      </w:pPr>
      <w:r>
        <w:fldChar w:fldCharType="begin"/>
      </w:r>
      <w:r>
        <w:instrText xml:space="preserve"> HYPERLINK \l "_Toc14884" </w:instrText>
      </w:r>
      <w:r>
        <w:fldChar w:fldCharType="separate"/>
      </w:r>
      <w:r>
        <w:rPr>
          <w:rFonts w:ascii="Times New Roman" w:hAnsi="Times New Roman"/>
          <w:bCs/>
          <w:szCs w:val="24"/>
        </w:rPr>
        <w:t xml:space="preserve">3.1.5 </w:t>
      </w:r>
      <w:r>
        <w:rPr>
          <w:rFonts w:ascii="Times New Roman" w:hAnsi="Times New Roman"/>
          <w:szCs w:val="24"/>
        </w:rPr>
        <w:t>Access to Health</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_Toc14884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fldChar w:fldCharType="end"/>
      </w:r>
    </w:p>
    <w:p w14:paraId="12FF2ED9">
      <w:pPr>
        <w:pStyle w:val="25"/>
        <w:tabs>
          <w:tab w:val="right" w:leader="dot" w:pos="9590"/>
        </w:tabs>
        <w:rPr>
          <w:rFonts w:ascii="Times New Roman" w:hAnsi="Times New Roman"/>
        </w:rPr>
      </w:pPr>
      <w:r>
        <w:fldChar w:fldCharType="begin"/>
      </w:r>
      <w:r>
        <w:instrText xml:space="preserve"> HYPERLINK \l "_Toc937" </w:instrText>
      </w:r>
      <w:r>
        <w:fldChar w:fldCharType="separate"/>
      </w:r>
      <w:r>
        <w:rPr>
          <w:rFonts w:ascii="Times New Roman" w:hAnsi="Times New Roman"/>
          <w:bCs/>
          <w:szCs w:val="24"/>
        </w:rPr>
        <w:t xml:space="preserve">3.1.6 </w:t>
      </w:r>
      <w:r>
        <w:rPr>
          <w:rFonts w:ascii="Times New Roman" w:hAnsi="Times New Roman"/>
          <w:szCs w:val="24"/>
        </w:rPr>
        <w:t>Common Health Problems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_Toc937 \h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fldChar w:fldCharType="end"/>
      </w:r>
    </w:p>
    <w:p w14:paraId="62B5060F">
      <w:pPr>
        <w:pStyle w:val="25"/>
        <w:tabs>
          <w:tab w:val="right" w:leader="dot" w:pos="9590"/>
        </w:tabs>
        <w:rPr>
          <w:rFonts w:ascii="Times New Roman" w:hAnsi="Times New Roman"/>
        </w:rPr>
      </w:pPr>
      <w:r>
        <w:fldChar w:fldCharType="begin"/>
      </w:r>
      <w:r>
        <w:instrText xml:space="preserve"> HYPERLINK \l "_Toc1116" </w:instrText>
      </w:r>
      <w:r>
        <w:fldChar w:fldCharType="separate"/>
      </w:r>
      <w:r>
        <w:rPr>
          <w:rFonts w:ascii="Times New Roman" w:hAnsi="Times New Roman"/>
          <w:bCs/>
          <w:szCs w:val="24"/>
        </w:rPr>
        <w:t xml:space="preserve">3.1.7 </w:t>
      </w:r>
      <w:r>
        <w:rPr>
          <w:rFonts w:ascii="Times New Roman" w:hAnsi="Times New Roman"/>
          <w:szCs w:val="24"/>
        </w:rPr>
        <w:t>HIV and AIDS Prevalence Rates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_Toc1116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14:paraId="55B65560">
      <w:pPr>
        <w:pStyle w:val="25"/>
        <w:tabs>
          <w:tab w:val="right" w:leader="dot" w:pos="9590"/>
        </w:tabs>
        <w:rPr>
          <w:rFonts w:ascii="Times New Roman" w:hAnsi="Times New Roman"/>
        </w:rPr>
      </w:pPr>
      <w:r>
        <w:fldChar w:fldCharType="begin"/>
      </w:r>
      <w:r>
        <w:instrText xml:space="preserve"> HYPERLINK \l "_Toc31339" </w:instrText>
      </w:r>
      <w:r>
        <w:fldChar w:fldCharType="separate"/>
      </w:r>
      <w:r>
        <w:rPr>
          <w:rFonts w:ascii="Times New Roman" w:hAnsi="Times New Roman"/>
          <w:bCs/>
          <w:szCs w:val="24"/>
        </w:rPr>
        <w:t xml:space="preserve">3.1.8 </w:t>
      </w:r>
      <w:r>
        <w:rPr>
          <w:rFonts w:ascii="Times New Roman" w:hAnsi="Times New Roman"/>
          <w:szCs w:val="24"/>
        </w:rPr>
        <w:t>Gender Based Violence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_Toc31339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14:paraId="4EF61B3E">
      <w:pPr>
        <w:pStyle w:val="25"/>
        <w:tabs>
          <w:tab w:val="right" w:leader="dot" w:pos="9590"/>
        </w:tabs>
        <w:rPr>
          <w:rFonts w:ascii="Times New Roman" w:hAnsi="Times New Roman"/>
        </w:rPr>
      </w:pPr>
      <w:r>
        <w:fldChar w:fldCharType="begin"/>
      </w:r>
      <w:r>
        <w:instrText xml:space="preserve"> HYPERLINK \l "_Toc16379" </w:instrText>
      </w:r>
      <w:r>
        <w:fldChar w:fldCharType="separate"/>
      </w:r>
      <w:r>
        <w:rPr>
          <w:rFonts w:ascii="Times New Roman" w:hAnsi="Times New Roman"/>
          <w:bCs/>
          <w:szCs w:val="24"/>
        </w:rPr>
        <w:t xml:space="preserve">3.1.9 </w:t>
      </w:r>
      <w:r>
        <w:rPr>
          <w:rFonts w:ascii="Times New Roman" w:hAnsi="Times New Roman"/>
          <w:szCs w:val="24"/>
        </w:rPr>
        <w:t>Posts and Telecommunications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_Toc16379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14:paraId="527FEB6B">
      <w:pPr>
        <w:pStyle w:val="25"/>
        <w:tabs>
          <w:tab w:val="right" w:leader="dot" w:pos="9590"/>
        </w:tabs>
        <w:rPr>
          <w:rFonts w:ascii="Times New Roman" w:hAnsi="Times New Roman"/>
        </w:rPr>
      </w:pPr>
      <w:r>
        <w:fldChar w:fldCharType="begin"/>
      </w:r>
      <w:r>
        <w:instrText xml:space="preserve"> HYPERLINK \l "_Toc1925" </w:instrText>
      </w:r>
      <w:r>
        <w:fldChar w:fldCharType="separate"/>
      </w:r>
      <w:r>
        <w:rPr>
          <w:rFonts w:ascii="Times New Roman" w:hAnsi="Times New Roman"/>
          <w:bCs/>
          <w:szCs w:val="24"/>
        </w:rPr>
        <w:t xml:space="preserve">3.1.10 </w:t>
      </w:r>
      <w:r>
        <w:rPr>
          <w:rFonts w:ascii="Times New Roman" w:hAnsi="Times New Roman"/>
          <w:szCs w:val="24"/>
        </w:rPr>
        <w:t>Transport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_Toc1925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14:paraId="1077562B">
      <w:pPr>
        <w:pStyle w:val="24"/>
        <w:tabs>
          <w:tab w:val="right" w:leader="dot" w:pos="9590"/>
        </w:tabs>
        <w:rPr>
          <w:rFonts w:ascii="Times New Roman" w:hAnsi="Times New Roman"/>
        </w:rPr>
      </w:pPr>
      <w:r>
        <w:fldChar w:fldCharType="begin"/>
      </w:r>
      <w:r>
        <w:instrText xml:space="preserve"> HYPERLINK \l "_Toc31212" </w:instrText>
      </w:r>
      <w:r>
        <w:fldChar w:fldCharType="separate"/>
      </w:r>
      <w:r>
        <w:rPr>
          <w:rFonts w:ascii="Times New Roman" w:hAnsi="Times New Roman"/>
          <w:szCs w:val="24"/>
        </w:rPr>
        <w:t>Physiographic and Environmental Conditions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_Toc31212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14:paraId="4D31717C">
      <w:pPr>
        <w:pStyle w:val="25"/>
        <w:tabs>
          <w:tab w:val="right" w:leader="dot" w:pos="9590"/>
        </w:tabs>
        <w:rPr>
          <w:rFonts w:ascii="Times New Roman" w:hAnsi="Times New Roman"/>
        </w:rPr>
      </w:pPr>
      <w:r>
        <w:fldChar w:fldCharType="begin"/>
      </w:r>
      <w:r>
        <w:instrText xml:space="preserve"> HYPERLINK \l "_Toc21140" </w:instrText>
      </w:r>
      <w:r>
        <w:fldChar w:fldCharType="separate"/>
      </w:r>
      <w:r>
        <w:rPr>
          <w:rFonts w:ascii="Times New Roman" w:hAnsi="Times New Roman"/>
          <w:bCs/>
          <w:szCs w:val="24"/>
        </w:rPr>
        <w:t xml:space="preserve">3.1.11 </w:t>
      </w:r>
      <w:r>
        <w:rPr>
          <w:rFonts w:ascii="Times New Roman" w:hAnsi="Times New Roman"/>
          <w:szCs w:val="24"/>
        </w:rPr>
        <w:t>Climate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_Toc21140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14:paraId="7CDB6EEB">
      <w:pPr>
        <w:pStyle w:val="25"/>
        <w:tabs>
          <w:tab w:val="right" w:leader="dot" w:pos="9590"/>
        </w:tabs>
        <w:rPr>
          <w:rFonts w:ascii="Times New Roman" w:hAnsi="Times New Roman"/>
        </w:rPr>
      </w:pPr>
      <w:r>
        <w:fldChar w:fldCharType="begin"/>
      </w:r>
      <w:r>
        <w:instrText xml:space="preserve"> HYPERLINK \l "_Toc22578" </w:instrText>
      </w:r>
      <w:r>
        <w:fldChar w:fldCharType="separate"/>
      </w:r>
      <w:r>
        <w:rPr>
          <w:rFonts w:ascii="Times New Roman" w:hAnsi="Times New Roman"/>
          <w:bCs/>
          <w:szCs w:val="24"/>
        </w:rPr>
        <w:t xml:space="preserve">3.1.12 </w:t>
      </w:r>
      <w:r>
        <w:rPr>
          <w:rFonts w:ascii="Times New Roman" w:hAnsi="Times New Roman"/>
          <w:szCs w:val="24"/>
        </w:rPr>
        <w:t>Topography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_Toc22578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14:paraId="093B3B84">
      <w:pPr>
        <w:pStyle w:val="25"/>
        <w:tabs>
          <w:tab w:val="right" w:leader="dot" w:pos="9590"/>
        </w:tabs>
        <w:rPr>
          <w:rFonts w:ascii="Times New Roman" w:hAnsi="Times New Roman"/>
        </w:rPr>
      </w:pPr>
      <w:r>
        <w:fldChar w:fldCharType="begin"/>
      </w:r>
      <w:r>
        <w:instrText xml:space="preserve"> HYPERLINK \l "_Toc31494" </w:instrText>
      </w:r>
      <w:r>
        <w:fldChar w:fldCharType="separate"/>
      </w:r>
      <w:r>
        <w:rPr>
          <w:rFonts w:ascii="Times New Roman" w:hAnsi="Times New Roman"/>
          <w:bCs/>
          <w:szCs w:val="24"/>
        </w:rPr>
        <w:t xml:space="preserve">3.1.13 </w:t>
      </w:r>
      <w:r>
        <w:rPr>
          <w:rFonts w:ascii="Times New Roman" w:hAnsi="Times New Roman"/>
          <w:szCs w:val="24"/>
        </w:rPr>
        <w:t>Geology and Soils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_Toc31494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14:paraId="4066DA18">
      <w:pPr>
        <w:pStyle w:val="25"/>
        <w:tabs>
          <w:tab w:val="right" w:leader="dot" w:pos="9590"/>
        </w:tabs>
        <w:rPr>
          <w:rFonts w:ascii="Times New Roman" w:hAnsi="Times New Roman"/>
        </w:rPr>
      </w:pPr>
      <w:r>
        <w:fldChar w:fldCharType="begin"/>
      </w:r>
      <w:r>
        <w:instrText xml:space="preserve"> HYPERLINK \l "_Toc4144" </w:instrText>
      </w:r>
      <w:r>
        <w:fldChar w:fldCharType="separate"/>
      </w:r>
      <w:r>
        <w:rPr>
          <w:rFonts w:ascii="Times New Roman" w:hAnsi="Times New Roman"/>
          <w:bCs/>
          <w:szCs w:val="24"/>
        </w:rPr>
        <w:t xml:space="preserve">3.1.14 </w:t>
      </w:r>
      <w:r>
        <w:rPr>
          <w:rFonts w:ascii="Times New Roman" w:hAnsi="Times New Roman"/>
          <w:szCs w:val="24"/>
        </w:rPr>
        <w:t>Hydrology and Drainage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_Toc4144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14:paraId="44C9ABD3">
      <w:pPr>
        <w:pStyle w:val="24"/>
        <w:tabs>
          <w:tab w:val="right" w:leader="dot" w:pos="9590"/>
        </w:tabs>
        <w:rPr>
          <w:rFonts w:ascii="Times New Roman" w:hAnsi="Times New Roman"/>
        </w:rPr>
      </w:pPr>
      <w:r>
        <w:fldChar w:fldCharType="begin"/>
      </w:r>
      <w:r>
        <w:instrText xml:space="preserve"> HYPERLINK \l "_Toc19890" </w:instrText>
      </w:r>
      <w:r>
        <w:fldChar w:fldCharType="separate"/>
      </w:r>
      <w:r>
        <w:rPr>
          <w:rFonts w:ascii="Times New Roman" w:hAnsi="Times New Roman"/>
          <w:szCs w:val="24"/>
        </w:rPr>
        <w:t>HOUSEHOLD SOCIO-ECONOMIC SURVEY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_Toc19890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14:paraId="07D1A715">
      <w:pPr>
        <w:pStyle w:val="25"/>
        <w:tabs>
          <w:tab w:val="right" w:leader="dot" w:pos="9590"/>
        </w:tabs>
        <w:rPr>
          <w:rFonts w:ascii="Times New Roman" w:hAnsi="Times New Roman"/>
        </w:rPr>
      </w:pPr>
      <w:r>
        <w:fldChar w:fldCharType="begin"/>
      </w:r>
      <w:r>
        <w:instrText xml:space="preserve"> HYPERLINK \l "_Toc31833" </w:instrText>
      </w:r>
      <w:r>
        <w:fldChar w:fldCharType="separate"/>
      </w:r>
      <w:r>
        <w:rPr>
          <w:rFonts w:ascii="Times New Roman" w:hAnsi="Times New Roman"/>
          <w:bCs/>
          <w:szCs w:val="24"/>
        </w:rPr>
        <w:t xml:space="preserve">3.1.15 </w:t>
      </w:r>
      <w:r>
        <w:rPr>
          <w:rFonts w:ascii="Times New Roman" w:hAnsi="Times New Roman"/>
          <w:szCs w:val="24"/>
        </w:rPr>
        <w:t>Population dynamics and household characteristics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_Toc31833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14:paraId="1103738C">
      <w:pPr>
        <w:pStyle w:val="25"/>
        <w:tabs>
          <w:tab w:val="right" w:leader="dot" w:pos="9590"/>
        </w:tabs>
        <w:rPr>
          <w:rFonts w:ascii="Times New Roman" w:hAnsi="Times New Roman"/>
        </w:rPr>
      </w:pPr>
      <w:r>
        <w:fldChar w:fldCharType="begin"/>
      </w:r>
      <w:r>
        <w:instrText xml:space="preserve"> HYPERLINK \l "_Toc24660" </w:instrText>
      </w:r>
      <w:r>
        <w:fldChar w:fldCharType="separate"/>
      </w:r>
      <w:r>
        <w:rPr>
          <w:rFonts w:ascii="Times New Roman" w:hAnsi="Times New Roman"/>
          <w:bCs/>
          <w:szCs w:val="24"/>
        </w:rPr>
        <w:t xml:space="preserve">3.1.16 </w:t>
      </w:r>
      <w:r>
        <w:rPr>
          <w:rFonts w:ascii="Times New Roman" w:hAnsi="Times New Roman"/>
          <w:szCs w:val="24"/>
        </w:rPr>
        <w:t>Water Supply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_Toc24660 \h </w:instrText>
      </w:r>
      <w:r>
        <w:rPr>
          <w:rFonts w:ascii="Times New Roman" w:hAnsi="Times New Roman"/>
        </w:rPr>
        <w:fldChar w:fldCharType="separate"/>
      </w:r>
      <w:r>
        <w:rPr>
          <w:rFonts w:ascii="Times New Roman" w:hAnsi="Times New Roman"/>
        </w:rPr>
        <w:t>29</w:t>
      </w:r>
      <w:r>
        <w:rPr>
          <w:rFonts w:ascii="Times New Roman" w:hAnsi="Times New Roman"/>
        </w:rPr>
        <w:fldChar w:fldCharType="end"/>
      </w:r>
      <w:r>
        <w:rPr>
          <w:rFonts w:ascii="Times New Roman" w:hAnsi="Times New Roman"/>
        </w:rPr>
        <w:fldChar w:fldCharType="end"/>
      </w:r>
    </w:p>
    <w:p w14:paraId="4C748E10">
      <w:pPr>
        <w:pStyle w:val="25"/>
        <w:tabs>
          <w:tab w:val="right" w:leader="dot" w:pos="9590"/>
        </w:tabs>
        <w:rPr>
          <w:rFonts w:ascii="Times New Roman" w:hAnsi="Times New Roman"/>
        </w:rPr>
      </w:pPr>
      <w:r>
        <w:fldChar w:fldCharType="begin"/>
      </w:r>
      <w:r>
        <w:instrText xml:space="preserve"> HYPERLINK \l "_Toc13378" </w:instrText>
      </w:r>
      <w:r>
        <w:fldChar w:fldCharType="separate"/>
      </w:r>
      <w:r>
        <w:rPr>
          <w:rFonts w:ascii="Times New Roman" w:hAnsi="Times New Roman"/>
          <w:bCs/>
          <w:szCs w:val="24"/>
        </w:rPr>
        <w:t xml:space="preserve">3.1.17 </w:t>
      </w:r>
      <w:r>
        <w:rPr>
          <w:rFonts w:ascii="Times New Roman" w:hAnsi="Times New Roman"/>
          <w:szCs w:val="24"/>
        </w:rPr>
        <w:t>Sanitation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_Toc13378 \h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fldChar w:fldCharType="end"/>
      </w:r>
    </w:p>
    <w:p w14:paraId="2E7ACB3D">
      <w:pPr>
        <w:pStyle w:val="25"/>
        <w:tabs>
          <w:tab w:val="right" w:leader="dot" w:pos="9590"/>
        </w:tabs>
        <w:rPr>
          <w:rFonts w:ascii="Times New Roman" w:hAnsi="Times New Roman"/>
        </w:rPr>
      </w:pPr>
      <w:r>
        <w:fldChar w:fldCharType="begin"/>
      </w:r>
      <w:r>
        <w:instrText xml:space="preserve"> HYPERLINK \l "_Toc2505" </w:instrText>
      </w:r>
      <w:r>
        <w:fldChar w:fldCharType="separate"/>
      </w:r>
      <w:r>
        <w:rPr>
          <w:rFonts w:ascii="Times New Roman" w:hAnsi="Times New Roman"/>
          <w:bCs/>
          <w:szCs w:val="24"/>
        </w:rPr>
        <w:t xml:space="preserve">3.1.18 </w:t>
      </w:r>
      <w:r>
        <w:rPr>
          <w:rFonts w:ascii="Times New Roman" w:hAnsi="Times New Roman"/>
          <w:szCs w:val="24"/>
        </w:rPr>
        <w:t>Environmental Situation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_Toc2505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ascii="Times New Roman" w:hAnsi="Times New Roman"/>
        </w:rPr>
        <w:fldChar w:fldCharType="end"/>
      </w:r>
    </w:p>
    <w:p w14:paraId="37D3AB51">
      <w:pPr>
        <w:pStyle w:val="25"/>
        <w:tabs>
          <w:tab w:val="right" w:leader="dot" w:pos="9590"/>
        </w:tabs>
        <w:rPr>
          <w:rFonts w:ascii="Times New Roman" w:hAnsi="Times New Roman"/>
        </w:rPr>
      </w:pPr>
      <w:r>
        <w:fldChar w:fldCharType="begin"/>
      </w:r>
      <w:r>
        <w:instrText xml:space="preserve"> HYPERLINK \l "_Toc25199" </w:instrText>
      </w:r>
      <w:r>
        <w:fldChar w:fldCharType="separate"/>
      </w:r>
      <w:r>
        <w:rPr>
          <w:rFonts w:ascii="Times New Roman" w:hAnsi="Times New Roman"/>
          <w:bCs/>
          <w:szCs w:val="24"/>
        </w:rPr>
        <w:t xml:space="preserve">3.1.19 </w:t>
      </w:r>
      <w:r>
        <w:rPr>
          <w:rFonts w:ascii="Times New Roman" w:hAnsi="Times New Roman"/>
          <w:szCs w:val="24"/>
        </w:rPr>
        <w:t>The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_Toc25199 \h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rPr>
        <w:fldChar w:fldCharType="end"/>
      </w:r>
    </w:p>
    <w:p w14:paraId="4E601931">
      <w:pPr>
        <w:pStyle w:val="23"/>
        <w:tabs>
          <w:tab w:val="right" w:leader="dot" w:pos="9590"/>
        </w:tabs>
        <w:rPr>
          <w:rFonts w:ascii="Times New Roman" w:hAnsi="Times New Roman"/>
        </w:rPr>
      </w:pPr>
      <w:r>
        <w:fldChar w:fldCharType="begin"/>
      </w:r>
      <w:r>
        <w:instrText xml:space="preserve"> HYPERLINK \l "_Toc11600" </w:instrText>
      </w:r>
      <w:r>
        <w:fldChar w:fldCharType="separate"/>
      </w:r>
      <w:r>
        <w:rPr>
          <w:rFonts w:ascii="Times New Roman" w:hAnsi="Times New Roman"/>
          <w:szCs w:val="24"/>
        </w:rPr>
        <w:t>4 Stakeholder Engagement and Public Consultation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_Toc11600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14:paraId="57B353AD">
      <w:pPr>
        <w:pStyle w:val="24"/>
        <w:tabs>
          <w:tab w:val="right" w:leader="dot" w:pos="9590"/>
        </w:tabs>
        <w:rPr>
          <w:rFonts w:ascii="Times New Roman" w:hAnsi="Times New Roman"/>
        </w:rPr>
      </w:pPr>
      <w:r>
        <w:fldChar w:fldCharType="begin"/>
      </w:r>
      <w:r>
        <w:instrText xml:space="preserve"> HYPERLINK \l "_Toc16284" </w:instrText>
      </w:r>
      <w:r>
        <w:fldChar w:fldCharType="separate"/>
      </w:r>
      <w:r>
        <w:rPr>
          <w:rFonts w:ascii="Times New Roman" w:hAnsi="Times New Roman"/>
          <w:szCs w:val="24"/>
        </w:rPr>
        <w:t>General</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_Toc16284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14:paraId="159DFCC0">
      <w:pPr>
        <w:pStyle w:val="24"/>
        <w:tabs>
          <w:tab w:val="right" w:leader="dot" w:pos="9590"/>
        </w:tabs>
        <w:rPr>
          <w:rFonts w:ascii="Times New Roman" w:hAnsi="Times New Roman"/>
        </w:rPr>
      </w:pPr>
      <w:r>
        <w:fldChar w:fldCharType="begin"/>
      </w:r>
      <w:r>
        <w:instrText xml:space="preserve"> HYPERLINK \l "_Toc30016" </w:instrText>
      </w:r>
      <w:r>
        <w:fldChar w:fldCharType="separate"/>
      </w:r>
      <w:r>
        <w:rPr>
          <w:rFonts w:ascii="Times New Roman" w:hAnsi="Times New Roman"/>
          <w:szCs w:val="24"/>
        </w:rPr>
        <w:t>Applicable Laws, Regulations and Policies to Public Engagement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_Toc30016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14:paraId="68F6109D">
      <w:pPr>
        <w:pStyle w:val="24"/>
        <w:tabs>
          <w:tab w:val="right" w:leader="dot" w:pos="9590"/>
        </w:tabs>
        <w:rPr>
          <w:rFonts w:ascii="Times New Roman" w:hAnsi="Times New Roman"/>
        </w:rPr>
      </w:pPr>
      <w:r>
        <w:fldChar w:fldCharType="begin"/>
      </w:r>
      <w:r>
        <w:instrText xml:space="preserve"> HYPERLINK \l "_Toc2603" </w:instrText>
      </w:r>
      <w:r>
        <w:fldChar w:fldCharType="separate"/>
      </w:r>
      <w:r>
        <w:rPr>
          <w:rFonts w:ascii="Times New Roman" w:hAnsi="Times New Roman"/>
          <w:szCs w:val="24"/>
          <w:lang w:val="en-US"/>
        </w:rPr>
        <w:t>Public Participation Methodology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_Toc2603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14:paraId="42E84016">
      <w:pPr>
        <w:pStyle w:val="25"/>
        <w:tabs>
          <w:tab w:val="right" w:leader="dot" w:pos="9590"/>
        </w:tabs>
        <w:rPr>
          <w:rFonts w:ascii="Times New Roman" w:hAnsi="Times New Roman"/>
        </w:rPr>
      </w:pPr>
      <w:r>
        <w:fldChar w:fldCharType="begin"/>
      </w:r>
      <w:r>
        <w:instrText xml:space="preserve"> HYPERLINK \l "_Toc30612" </w:instrText>
      </w:r>
      <w:r>
        <w:fldChar w:fldCharType="separate"/>
      </w:r>
      <w:r>
        <w:rPr>
          <w:rFonts w:ascii="Times New Roman" w:hAnsi="Times New Roman"/>
          <w:bCs/>
          <w:szCs w:val="24"/>
          <w:lang w:val="en-US"/>
        </w:rPr>
        <w:t xml:space="preserve">4.1.1 </w:t>
      </w:r>
      <w:r>
        <w:rPr>
          <w:rFonts w:ascii="Times New Roman" w:hAnsi="Times New Roman"/>
          <w:szCs w:val="24"/>
          <w:lang w:val="en-US"/>
        </w:rPr>
        <w:t>Questionnaire Administration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_Toc30612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14:paraId="62EF58CB">
      <w:pPr>
        <w:pStyle w:val="25"/>
        <w:tabs>
          <w:tab w:val="right" w:leader="dot" w:pos="9590"/>
        </w:tabs>
        <w:rPr>
          <w:rFonts w:ascii="Times New Roman" w:hAnsi="Times New Roman"/>
        </w:rPr>
      </w:pPr>
      <w:r>
        <w:fldChar w:fldCharType="begin"/>
      </w:r>
      <w:r>
        <w:instrText xml:space="preserve"> HYPERLINK \l "_Toc462" </w:instrText>
      </w:r>
      <w:r>
        <w:fldChar w:fldCharType="separate"/>
      </w:r>
      <w:r>
        <w:rPr>
          <w:rFonts w:ascii="Times New Roman" w:hAnsi="Times New Roman"/>
          <w:bCs/>
          <w:szCs w:val="24"/>
        </w:rPr>
        <w:t xml:space="preserve">4.1.2 </w:t>
      </w:r>
      <w:r>
        <w:rPr>
          <w:rFonts w:ascii="Times New Roman" w:hAnsi="Times New Roman"/>
          <w:szCs w:val="24"/>
        </w:rPr>
        <w:t>Public Participation Meetings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_Toc462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14:paraId="132E448E">
      <w:pPr>
        <w:pStyle w:val="24"/>
        <w:tabs>
          <w:tab w:val="right" w:leader="dot" w:pos="9590"/>
        </w:tabs>
        <w:rPr>
          <w:rFonts w:ascii="Times New Roman" w:hAnsi="Times New Roman"/>
        </w:rPr>
      </w:pPr>
      <w:r>
        <w:fldChar w:fldCharType="begin"/>
      </w:r>
      <w:r>
        <w:instrText xml:space="preserve"> HYPERLINK \l "_Toc9970" </w:instrText>
      </w:r>
      <w:r>
        <w:fldChar w:fldCharType="separate"/>
      </w:r>
      <w:r>
        <w:rPr>
          <w:rFonts w:ascii="Times New Roman" w:hAnsi="Times New Roman"/>
          <w:szCs w:val="24"/>
        </w:rPr>
        <w:t>Consultation During Project Duration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_Toc9970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14:paraId="7108C922">
      <w:pPr>
        <w:pStyle w:val="25"/>
        <w:tabs>
          <w:tab w:val="right" w:leader="dot" w:pos="9590"/>
        </w:tabs>
        <w:rPr>
          <w:rFonts w:ascii="Times New Roman" w:hAnsi="Times New Roman"/>
        </w:rPr>
      </w:pPr>
      <w:r>
        <w:fldChar w:fldCharType="begin"/>
      </w:r>
      <w:r>
        <w:instrText xml:space="preserve"> HYPERLINK \l "_Toc31363" </w:instrText>
      </w:r>
      <w:r>
        <w:fldChar w:fldCharType="separate"/>
      </w:r>
      <w:r>
        <w:rPr>
          <w:rFonts w:ascii="Times New Roman" w:hAnsi="Times New Roman" w:eastAsia="MS Gothic"/>
          <w:bCs/>
          <w:szCs w:val="24"/>
        </w:rPr>
        <w:t xml:space="preserve">4.1.3 </w:t>
      </w:r>
      <w:r>
        <w:rPr>
          <w:rFonts w:ascii="Times New Roman" w:hAnsi="Times New Roman" w:eastAsia="MS Gothic"/>
          <w:szCs w:val="24"/>
        </w:rPr>
        <w:t>Community Relations in Construction Phase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_Toc31363 \h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fldChar w:fldCharType="end"/>
      </w:r>
    </w:p>
    <w:p w14:paraId="79191D7A">
      <w:pPr>
        <w:pStyle w:val="25"/>
        <w:tabs>
          <w:tab w:val="right" w:leader="dot" w:pos="9590"/>
        </w:tabs>
        <w:rPr>
          <w:rFonts w:ascii="Times New Roman" w:hAnsi="Times New Roman"/>
        </w:rPr>
      </w:pPr>
      <w:r>
        <w:fldChar w:fldCharType="begin"/>
      </w:r>
      <w:r>
        <w:instrText xml:space="preserve"> HYPERLINK \l "_Toc19334" </w:instrText>
      </w:r>
      <w:r>
        <w:fldChar w:fldCharType="separate"/>
      </w:r>
      <w:r>
        <w:rPr>
          <w:rFonts w:ascii="Times New Roman" w:hAnsi="Times New Roman" w:eastAsia="MS Gothic"/>
          <w:bCs/>
          <w:szCs w:val="24"/>
        </w:rPr>
        <w:t xml:space="preserve">4.1.4 </w:t>
      </w:r>
      <w:r>
        <w:rPr>
          <w:rFonts w:ascii="Times New Roman" w:hAnsi="Times New Roman" w:eastAsia="MS Gothic"/>
          <w:szCs w:val="24"/>
        </w:rPr>
        <w:t>Construction Contractor’s Role in Community Liaison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_Toc19334 \h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fldChar w:fldCharType="end"/>
      </w:r>
    </w:p>
    <w:p w14:paraId="538CC289">
      <w:pPr>
        <w:pStyle w:val="25"/>
        <w:tabs>
          <w:tab w:val="right" w:leader="dot" w:pos="9590"/>
        </w:tabs>
        <w:rPr>
          <w:rFonts w:ascii="Times New Roman" w:hAnsi="Times New Roman"/>
        </w:rPr>
      </w:pPr>
      <w:r>
        <w:fldChar w:fldCharType="begin"/>
      </w:r>
      <w:r>
        <w:instrText xml:space="preserve"> HYPERLINK \l "_Toc30535" </w:instrText>
      </w:r>
      <w:r>
        <w:fldChar w:fldCharType="separate"/>
      </w:r>
      <w:r>
        <w:rPr>
          <w:rFonts w:ascii="Times New Roman" w:hAnsi="Times New Roman" w:eastAsia="MS Gothic"/>
          <w:bCs/>
          <w:szCs w:val="24"/>
        </w:rPr>
        <w:t xml:space="preserve">4.1.5 </w:t>
      </w:r>
      <w:r>
        <w:rPr>
          <w:rFonts w:ascii="Times New Roman" w:hAnsi="Times New Roman" w:eastAsia="MS Gothic"/>
          <w:szCs w:val="24"/>
        </w:rPr>
        <w:t>Community Relations in Operational Phase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_Toc30535 \h </w:instrText>
      </w:r>
      <w:r>
        <w:rPr>
          <w:rFonts w:ascii="Times New Roman" w:hAnsi="Times New Roman"/>
        </w:rPr>
        <w:fldChar w:fldCharType="separate"/>
      </w:r>
      <w:r>
        <w:rPr>
          <w:rFonts w:ascii="Times New Roman" w:hAnsi="Times New Roman"/>
        </w:rPr>
        <w:t>39</w:t>
      </w:r>
      <w:r>
        <w:rPr>
          <w:rFonts w:ascii="Times New Roman" w:hAnsi="Times New Roman"/>
        </w:rPr>
        <w:fldChar w:fldCharType="end"/>
      </w:r>
      <w:r>
        <w:rPr>
          <w:rFonts w:ascii="Times New Roman" w:hAnsi="Times New Roman"/>
        </w:rPr>
        <w:fldChar w:fldCharType="end"/>
      </w:r>
    </w:p>
    <w:p w14:paraId="5A0FED4A">
      <w:pPr>
        <w:pStyle w:val="25"/>
        <w:tabs>
          <w:tab w:val="right" w:leader="dot" w:pos="9590"/>
        </w:tabs>
        <w:rPr>
          <w:rFonts w:ascii="Times New Roman" w:hAnsi="Times New Roman"/>
        </w:rPr>
      </w:pPr>
      <w:r>
        <w:fldChar w:fldCharType="begin"/>
      </w:r>
      <w:r>
        <w:instrText xml:space="preserve"> HYPERLINK \l "_Toc20954" </w:instrText>
      </w:r>
      <w:r>
        <w:fldChar w:fldCharType="separate"/>
      </w:r>
      <w:r>
        <w:rPr>
          <w:rFonts w:ascii="Times New Roman" w:hAnsi="Times New Roman" w:eastAsia="MS Gothic"/>
          <w:bCs/>
          <w:szCs w:val="24"/>
        </w:rPr>
        <w:t xml:space="preserve">4.1.6 </w:t>
      </w:r>
      <w:r>
        <w:rPr>
          <w:rFonts w:ascii="Times New Roman" w:hAnsi="Times New Roman" w:eastAsia="MS Gothic"/>
          <w:szCs w:val="24"/>
        </w:rPr>
        <w:t>Grievance Redress Management Plan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_Toc20954 \h </w:instrText>
      </w:r>
      <w:r>
        <w:rPr>
          <w:rFonts w:ascii="Times New Roman" w:hAnsi="Times New Roman"/>
        </w:rPr>
        <w:fldChar w:fldCharType="separate"/>
      </w:r>
      <w:r>
        <w:rPr>
          <w:rFonts w:ascii="Times New Roman" w:hAnsi="Times New Roman"/>
        </w:rPr>
        <w:t>39</w:t>
      </w:r>
      <w:r>
        <w:rPr>
          <w:rFonts w:ascii="Times New Roman" w:hAnsi="Times New Roman"/>
        </w:rPr>
        <w:fldChar w:fldCharType="end"/>
      </w:r>
      <w:r>
        <w:rPr>
          <w:rFonts w:ascii="Times New Roman" w:hAnsi="Times New Roman"/>
        </w:rPr>
        <w:fldChar w:fldCharType="end"/>
      </w:r>
    </w:p>
    <w:p w14:paraId="300F22D3">
      <w:pPr>
        <w:pStyle w:val="23"/>
        <w:tabs>
          <w:tab w:val="right" w:leader="dot" w:pos="9590"/>
        </w:tabs>
        <w:rPr>
          <w:rFonts w:ascii="Times New Roman" w:hAnsi="Times New Roman"/>
        </w:rPr>
      </w:pPr>
      <w:r>
        <w:fldChar w:fldCharType="begin"/>
      </w:r>
      <w:r>
        <w:instrText xml:space="preserve"> HYPERLINK \l "_Toc14864" </w:instrText>
      </w:r>
      <w:r>
        <w:fldChar w:fldCharType="separate"/>
      </w:r>
      <w:r>
        <w:rPr>
          <w:rFonts w:ascii="Times New Roman" w:hAnsi="Times New Roman"/>
          <w:szCs w:val="24"/>
        </w:rPr>
        <w:t>5 ALTERNATIVES TO THE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_Toc14864 \h </w:instrText>
      </w:r>
      <w:r>
        <w:rPr>
          <w:rFonts w:ascii="Times New Roman" w:hAnsi="Times New Roman"/>
        </w:rPr>
        <w:fldChar w:fldCharType="separate"/>
      </w:r>
      <w:r>
        <w:rPr>
          <w:rFonts w:ascii="Times New Roman" w:hAnsi="Times New Roman"/>
        </w:rPr>
        <w:t>40</w:t>
      </w:r>
      <w:r>
        <w:rPr>
          <w:rFonts w:ascii="Times New Roman" w:hAnsi="Times New Roman"/>
        </w:rPr>
        <w:fldChar w:fldCharType="end"/>
      </w:r>
      <w:r>
        <w:rPr>
          <w:rFonts w:ascii="Times New Roman" w:hAnsi="Times New Roman"/>
        </w:rPr>
        <w:fldChar w:fldCharType="end"/>
      </w:r>
    </w:p>
    <w:p w14:paraId="4FB7C48E">
      <w:pPr>
        <w:pStyle w:val="24"/>
        <w:tabs>
          <w:tab w:val="right" w:leader="dot" w:pos="9590"/>
        </w:tabs>
        <w:rPr>
          <w:rFonts w:ascii="Times New Roman" w:hAnsi="Times New Roman"/>
        </w:rPr>
      </w:pPr>
      <w:r>
        <w:fldChar w:fldCharType="begin"/>
      </w:r>
      <w:r>
        <w:instrText xml:space="preserve"> HYPERLINK \l "_Toc9552" </w:instrText>
      </w:r>
      <w:r>
        <w:fldChar w:fldCharType="separate"/>
      </w:r>
      <w:r>
        <w:rPr>
          <w:rFonts w:ascii="Times New Roman" w:hAnsi="Times New Roman"/>
          <w:szCs w:val="24"/>
        </w:rPr>
        <w:t>No Action Alternative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_Toc9552 \h </w:instrText>
      </w:r>
      <w:r>
        <w:rPr>
          <w:rFonts w:ascii="Times New Roman" w:hAnsi="Times New Roman"/>
        </w:rPr>
        <w:fldChar w:fldCharType="separate"/>
      </w:r>
      <w:r>
        <w:rPr>
          <w:rFonts w:ascii="Times New Roman" w:hAnsi="Times New Roman"/>
        </w:rPr>
        <w:t>40</w:t>
      </w:r>
      <w:r>
        <w:rPr>
          <w:rFonts w:ascii="Times New Roman" w:hAnsi="Times New Roman"/>
        </w:rPr>
        <w:fldChar w:fldCharType="end"/>
      </w:r>
      <w:r>
        <w:rPr>
          <w:rFonts w:ascii="Times New Roman" w:hAnsi="Times New Roman"/>
        </w:rPr>
        <w:fldChar w:fldCharType="end"/>
      </w:r>
    </w:p>
    <w:p w14:paraId="57FC5580">
      <w:pPr>
        <w:pStyle w:val="24"/>
        <w:tabs>
          <w:tab w:val="right" w:leader="dot" w:pos="9590"/>
        </w:tabs>
        <w:rPr>
          <w:rFonts w:ascii="Times New Roman" w:hAnsi="Times New Roman"/>
        </w:rPr>
      </w:pPr>
      <w:r>
        <w:fldChar w:fldCharType="begin"/>
      </w:r>
      <w:r>
        <w:instrText xml:space="preserve"> HYPERLINK \l "_Toc5337" </w:instrText>
      </w:r>
      <w:r>
        <w:fldChar w:fldCharType="separate"/>
      </w:r>
      <w:r>
        <w:rPr>
          <w:rFonts w:ascii="Times New Roman" w:hAnsi="Times New Roman"/>
          <w:szCs w:val="24"/>
        </w:rPr>
        <w:t>Design Alternative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_Toc5337 \h </w:instrText>
      </w:r>
      <w:r>
        <w:rPr>
          <w:rFonts w:ascii="Times New Roman" w:hAnsi="Times New Roman"/>
        </w:rPr>
        <w:fldChar w:fldCharType="separate"/>
      </w:r>
      <w:r>
        <w:rPr>
          <w:rFonts w:ascii="Times New Roman" w:hAnsi="Times New Roman"/>
        </w:rPr>
        <w:t>40</w:t>
      </w:r>
      <w:r>
        <w:rPr>
          <w:rFonts w:ascii="Times New Roman" w:hAnsi="Times New Roman"/>
        </w:rPr>
        <w:fldChar w:fldCharType="end"/>
      </w:r>
      <w:r>
        <w:rPr>
          <w:rFonts w:ascii="Times New Roman" w:hAnsi="Times New Roman"/>
        </w:rPr>
        <w:fldChar w:fldCharType="end"/>
      </w:r>
    </w:p>
    <w:p w14:paraId="0668E825">
      <w:pPr>
        <w:pStyle w:val="24"/>
        <w:tabs>
          <w:tab w:val="right" w:leader="dot" w:pos="9590"/>
        </w:tabs>
        <w:rPr>
          <w:rFonts w:ascii="Times New Roman" w:hAnsi="Times New Roman"/>
        </w:rPr>
      </w:pPr>
      <w:r>
        <w:fldChar w:fldCharType="begin"/>
      </w:r>
      <w:r>
        <w:instrText xml:space="preserve"> HYPERLINK \l "_Toc7060" </w:instrText>
      </w:r>
      <w:r>
        <w:fldChar w:fldCharType="separate"/>
      </w:r>
      <w:r>
        <w:rPr>
          <w:rFonts w:ascii="Times New Roman" w:hAnsi="Times New Roman"/>
          <w:szCs w:val="24"/>
        </w:rPr>
        <w:t>Site Alternative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_Toc7060 \h </w:instrText>
      </w:r>
      <w:r>
        <w:rPr>
          <w:rFonts w:ascii="Times New Roman" w:hAnsi="Times New Roman"/>
        </w:rPr>
        <w:fldChar w:fldCharType="separate"/>
      </w:r>
      <w:r>
        <w:rPr>
          <w:rFonts w:ascii="Times New Roman" w:hAnsi="Times New Roman"/>
        </w:rPr>
        <w:t>40</w:t>
      </w:r>
      <w:r>
        <w:rPr>
          <w:rFonts w:ascii="Times New Roman" w:hAnsi="Times New Roman"/>
        </w:rPr>
        <w:fldChar w:fldCharType="end"/>
      </w:r>
      <w:r>
        <w:rPr>
          <w:rFonts w:ascii="Times New Roman" w:hAnsi="Times New Roman"/>
        </w:rPr>
        <w:fldChar w:fldCharType="end"/>
      </w:r>
    </w:p>
    <w:p w14:paraId="019E825A">
      <w:pPr>
        <w:pStyle w:val="23"/>
        <w:tabs>
          <w:tab w:val="right" w:leader="dot" w:pos="9590"/>
        </w:tabs>
        <w:rPr>
          <w:rFonts w:ascii="Times New Roman" w:hAnsi="Times New Roman"/>
        </w:rPr>
      </w:pPr>
      <w:r>
        <w:fldChar w:fldCharType="begin"/>
      </w:r>
      <w:r>
        <w:instrText xml:space="preserve"> HYPERLINK \l "_Toc3025" </w:instrText>
      </w:r>
      <w:r>
        <w:fldChar w:fldCharType="separate"/>
      </w:r>
      <w:r>
        <w:rPr>
          <w:rFonts w:ascii="Times New Roman" w:hAnsi="Times New Roman"/>
          <w:szCs w:val="24"/>
        </w:rPr>
        <w:t>6 RELEVANT LEGISLATIVE/ REGULATORY FRAMEWORK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_Toc3025 \h </w:instrText>
      </w:r>
      <w:r>
        <w:rPr>
          <w:rFonts w:ascii="Times New Roman" w:hAnsi="Times New Roman"/>
        </w:rPr>
        <w:fldChar w:fldCharType="separate"/>
      </w:r>
      <w:r>
        <w:rPr>
          <w:rFonts w:ascii="Times New Roman" w:hAnsi="Times New Roman"/>
        </w:rPr>
        <w:t>41</w:t>
      </w:r>
      <w:r>
        <w:rPr>
          <w:rFonts w:ascii="Times New Roman" w:hAnsi="Times New Roman"/>
        </w:rPr>
        <w:fldChar w:fldCharType="end"/>
      </w:r>
      <w:r>
        <w:rPr>
          <w:rFonts w:ascii="Times New Roman" w:hAnsi="Times New Roman"/>
        </w:rPr>
        <w:fldChar w:fldCharType="end"/>
      </w:r>
    </w:p>
    <w:p w14:paraId="38FB5EEF">
      <w:pPr>
        <w:pStyle w:val="24"/>
        <w:tabs>
          <w:tab w:val="right" w:leader="dot" w:pos="9590"/>
        </w:tabs>
        <w:rPr>
          <w:rFonts w:ascii="Times New Roman" w:hAnsi="Times New Roman"/>
        </w:rPr>
      </w:pPr>
      <w:r>
        <w:fldChar w:fldCharType="begin"/>
      </w:r>
      <w:r>
        <w:instrText xml:space="preserve"> HYPERLINK \l "_Toc24706" </w:instrText>
      </w:r>
      <w:r>
        <w:fldChar w:fldCharType="separate"/>
      </w:r>
      <w:r>
        <w:rPr>
          <w:rFonts w:ascii="Times New Roman" w:hAnsi="Times New Roman"/>
          <w:szCs w:val="24"/>
        </w:rPr>
        <w:t>Policy Framework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_Toc24706 \h </w:instrText>
      </w:r>
      <w:r>
        <w:rPr>
          <w:rFonts w:ascii="Times New Roman" w:hAnsi="Times New Roman"/>
        </w:rPr>
        <w:fldChar w:fldCharType="separate"/>
      </w:r>
      <w:r>
        <w:rPr>
          <w:rFonts w:ascii="Times New Roman" w:hAnsi="Times New Roman"/>
        </w:rPr>
        <w:t>41</w:t>
      </w:r>
      <w:r>
        <w:rPr>
          <w:rFonts w:ascii="Times New Roman" w:hAnsi="Times New Roman"/>
        </w:rPr>
        <w:fldChar w:fldCharType="end"/>
      </w:r>
      <w:r>
        <w:rPr>
          <w:rFonts w:ascii="Times New Roman" w:hAnsi="Times New Roman"/>
        </w:rPr>
        <w:fldChar w:fldCharType="end"/>
      </w:r>
    </w:p>
    <w:p w14:paraId="1E75BF0F">
      <w:pPr>
        <w:pStyle w:val="25"/>
        <w:tabs>
          <w:tab w:val="right" w:leader="dot" w:pos="9590"/>
        </w:tabs>
        <w:rPr>
          <w:rFonts w:ascii="Times New Roman" w:hAnsi="Times New Roman"/>
        </w:rPr>
      </w:pPr>
      <w:r>
        <w:fldChar w:fldCharType="begin"/>
      </w:r>
      <w:r>
        <w:instrText xml:space="preserve"> HYPERLINK \l "_Toc6691" </w:instrText>
      </w:r>
      <w:r>
        <w:fldChar w:fldCharType="separate"/>
      </w:r>
      <w:r>
        <w:rPr>
          <w:rFonts w:ascii="Times New Roman" w:hAnsi="Times New Roman"/>
          <w:bCs/>
          <w:szCs w:val="24"/>
          <w:lang w:val="en-US"/>
        </w:rPr>
        <w:t xml:space="preserve">6.1.1 </w:t>
      </w:r>
      <w:r>
        <w:rPr>
          <w:rFonts w:ascii="Times New Roman" w:hAnsi="Times New Roman"/>
          <w:szCs w:val="24"/>
          <w:lang w:val="en-US"/>
        </w:rPr>
        <w:t>National Environment Policy (NEP) 2013</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_Toc6691 \h </w:instrText>
      </w:r>
      <w:r>
        <w:rPr>
          <w:rFonts w:ascii="Times New Roman" w:hAnsi="Times New Roman"/>
        </w:rPr>
        <w:fldChar w:fldCharType="separate"/>
      </w:r>
      <w:r>
        <w:rPr>
          <w:rFonts w:ascii="Times New Roman" w:hAnsi="Times New Roman"/>
        </w:rPr>
        <w:t>41</w:t>
      </w:r>
      <w:r>
        <w:rPr>
          <w:rFonts w:ascii="Times New Roman" w:hAnsi="Times New Roman"/>
        </w:rPr>
        <w:fldChar w:fldCharType="end"/>
      </w:r>
      <w:r>
        <w:rPr>
          <w:rFonts w:ascii="Times New Roman" w:hAnsi="Times New Roman"/>
        </w:rPr>
        <w:fldChar w:fldCharType="end"/>
      </w:r>
    </w:p>
    <w:p w14:paraId="262F654A">
      <w:pPr>
        <w:pStyle w:val="25"/>
        <w:tabs>
          <w:tab w:val="right" w:leader="dot" w:pos="9590"/>
        </w:tabs>
        <w:rPr>
          <w:rFonts w:ascii="Times New Roman" w:hAnsi="Times New Roman"/>
        </w:rPr>
      </w:pPr>
      <w:r>
        <w:fldChar w:fldCharType="begin"/>
      </w:r>
      <w:r>
        <w:instrText xml:space="preserve"> HYPERLINK \l "_Toc3666" </w:instrText>
      </w:r>
      <w:r>
        <w:fldChar w:fldCharType="separate"/>
      </w:r>
      <w:r>
        <w:rPr>
          <w:rFonts w:ascii="Times New Roman" w:hAnsi="Times New Roman"/>
          <w:bCs/>
          <w:szCs w:val="24"/>
          <w:lang w:val="en-US"/>
        </w:rPr>
        <w:t xml:space="preserve">6.1.2 </w:t>
      </w:r>
      <w:r>
        <w:rPr>
          <w:rFonts w:ascii="Times New Roman" w:hAnsi="Times New Roman"/>
          <w:szCs w:val="24"/>
          <w:lang w:val="en-US"/>
        </w:rPr>
        <w:t>Kenya Vision 2030</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_Toc3666 \h </w:instrText>
      </w:r>
      <w:r>
        <w:rPr>
          <w:rFonts w:ascii="Times New Roman" w:hAnsi="Times New Roman"/>
        </w:rPr>
        <w:fldChar w:fldCharType="separate"/>
      </w:r>
      <w:r>
        <w:rPr>
          <w:rFonts w:ascii="Times New Roman" w:hAnsi="Times New Roman"/>
        </w:rPr>
        <w:t>41</w:t>
      </w:r>
      <w:r>
        <w:rPr>
          <w:rFonts w:ascii="Times New Roman" w:hAnsi="Times New Roman"/>
        </w:rPr>
        <w:fldChar w:fldCharType="end"/>
      </w:r>
      <w:r>
        <w:rPr>
          <w:rFonts w:ascii="Times New Roman" w:hAnsi="Times New Roman"/>
        </w:rPr>
        <w:fldChar w:fldCharType="end"/>
      </w:r>
    </w:p>
    <w:p w14:paraId="034D7C43">
      <w:pPr>
        <w:pStyle w:val="25"/>
        <w:tabs>
          <w:tab w:val="right" w:leader="dot" w:pos="9590"/>
        </w:tabs>
        <w:rPr>
          <w:rFonts w:ascii="Times New Roman" w:hAnsi="Times New Roman"/>
        </w:rPr>
      </w:pPr>
      <w:r>
        <w:fldChar w:fldCharType="begin"/>
      </w:r>
      <w:r>
        <w:instrText xml:space="preserve"> HYPERLINK \l "_Toc13821" </w:instrText>
      </w:r>
      <w:r>
        <w:fldChar w:fldCharType="separate"/>
      </w:r>
      <w:r>
        <w:rPr>
          <w:rFonts w:ascii="Times New Roman" w:hAnsi="Times New Roman"/>
          <w:bCs/>
          <w:szCs w:val="24"/>
          <w:lang w:val="en-US"/>
        </w:rPr>
        <w:t xml:space="preserve">6.1.3 </w:t>
      </w:r>
      <w:r>
        <w:rPr>
          <w:rFonts w:ascii="Times New Roman" w:hAnsi="Times New Roman"/>
          <w:szCs w:val="24"/>
          <w:lang w:val="en-US"/>
        </w:rPr>
        <w:t>The National Environmental Sanitation and Hygiene Policy-July 2007</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_Toc13821 \h </w:instrText>
      </w:r>
      <w:r>
        <w:rPr>
          <w:rFonts w:ascii="Times New Roman" w:hAnsi="Times New Roman"/>
        </w:rPr>
        <w:fldChar w:fldCharType="separate"/>
      </w:r>
      <w:r>
        <w:rPr>
          <w:rFonts w:ascii="Times New Roman" w:hAnsi="Times New Roman"/>
        </w:rPr>
        <w:t>41</w:t>
      </w:r>
      <w:r>
        <w:rPr>
          <w:rFonts w:ascii="Times New Roman" w:hAnsi="Times New Roman"/>
        </w:rPr>
        <w:fldChar w:fldCharType="end"/>
      </w:r>
      <w:r>
        <w:rPr>
          <w:rFonts w:ascii="Times New Roman" w:hAnsi="Times New Roman"/>
        </w:rPr>
        <w:fldChar w:fldCharType="end"/>
      </w:r>
    </w:p>
    <w:p w14:paraId="4EA4C88B">
      <w:pPr>
        <w:pStyle w:val="25"/>
        <w:tabs>
          <w:tab w:val="right" w:leader="dot" w:pos="9590"/>
        </w:tabs>
        <w:rPr>
          <w:rFonts w:ascii="Times New Roman" w:hAnsi="Times New Roman"/>
        </w:rPr>
      </w:pPr>
      <w:r>
        <w:fldChar w:fldCharType="begin"/>
      </w:r>
      <w:r>
        <w:instrText xml:space="preserve"> HYPERLINK \l "_Toc15367" </w:instrText>
      </w:r>
      <w:r>
        <w:fldChar w:fldCharType="separate"/>
      </w:r>
      <w:r>
        <w:rPr>
          <w:rFonts w:ascii="Times New Roman" w:hAnsi="Times New Roman"/>
          <w:bCs/>
          <w:szCs w:val="24"/>
          <w:lang w:val="en-US"/>
        </w:rPr>
        <w:t xml:space="preserve">6.1.4 </w:t>
      </w:r>
      <w:r>
        <w:rPr>
          <w:rFonts w:ascii="Times New Roman" w:hAnsi="Times New Roman"/>
          <w:szCs w:val="24"/>
          <w:lang w:val="en-US"/>
        </w:rPr>
        <w:t>National Gender and Development Policy, 2019</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_Toc15367 \h </w:instrText>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fldChar w:fldCharType="end"/>
      </w:r>
    </w:p>
    <w:p w14:paraId="22AE4ACD">
      <w:pPr>
        <w:pStyle w:val="25"/>
        <w:tabs>
          <w:tab w:val="right" w:leader="dot" w:pos="9590"/>
        </w:tabs>
        <w:rPr>
          <w:rFonts w:ascii="Times New Roman" w:hAnsi="Times New Roman"/>
        </w:rPr>
      </w:pPr>
      <w:r>
        <w:fldChar w:fldCharType="begin"/>
      </w:r>
      <w:r>
        <w:instrText xml:space="preserve"> HYPERLINK \l "_Toc23668" </w:instrText>
      </w:r>
      <w:r>
        <w:fldChar w:fldCharType="separate"/>
      </w:r>
      <w:r>
        <w:rPr>
          <w:rFonts w:ascii="Times New Roman" w:hAnsi="Times New Roman"/>
          <w:bCs/>
          <w:szCs w:val="24"/>
          <w:lang w:val="en-US"/>
        </w:rPr>
        <w:t xml:space="preserve">6.1.5 </w:t>
      </w:r>
      <w:r>
        <w:rPr>
          <w:rFonts w:ascii="Times New Roman" w:hAnsi="Times New Roman"/>
          <w:szCs w:val="24"/>
          <w:lang w:val="en-US"/>
        </w:rPr>
        <w:t>National policy for prevention and response to gender-based violence, 2014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_Toc23668 \h </w:instrText>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fldChar w:fldCharType="end"/>
      </w:r>
    </w:p>
    <w:p w14:paraId="13785DD6">
      <w:pPr>
        <w:pStyle w:val="24"/>
        <w:tabs>
          <w:tab w:val="right" w:leader="dot" w:pos="9590"/>
        </w:tabs>
        <w:rPr>
          <w:rFonts w:ascii="Times New Roman" w:hAnsi="Times New Roman"/>
        </w:rPr>
      </w:pPr>
      <w:r>
        <w:fldChar w:fldCharType="begin"/>
      </w:r>
      <w:r>
        <w:instrText xml:space="preserve"> HYPERLINK \l "_Toc1863" </w:instrText>
      </w:r>
      <w:r>
        <w:fldChar w:fldCharType="separate"/>
      </w:r>
      <w:r>
        <w:rPr>
          <w:rFonts w:ascii="Times New Roman" w:hAnsi="Times New Roman"/>
          <w:szCs w:val="24"/>
        </w:rPr>
        <w:t>Legal Framework</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_Toc1863 \h </w:instrText>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fldChar w:fldCharType="end"/>
      </w:r>
    </w:p>
    <w:p w14:paraId="0BB49989">
      <w:pPr>
        <w:pStyle w:val="25"/>
        <w:tabs>
          <w:tab w:val="right" w:leader="dot" w:pos="9590"/>
        </w:tabs>
        <w:rPr>
          <w:rFonts w:ascii="Times New Roman" w:hAnsi="Times New Roman"/>
        </w:rPr>
      </w:pPr>
      <w:r>
        <w:fldChar w:fldCharType="begin"/>
      </w:r>
      <w:r>
        <w:instrText xml:space="preserve"> HYPERLINK \l "_Toc23128" </w:instrText>
      </w:r>
      <w:r>
        <w:fldChar w:fldCharType="separate"/>
      </w:r>
      <w:r>
        <w:rPr>
          <w:rFonts w:ascii="Times New Roman" w:hAnsi="Times New Roman"/>
          <w:bCs/>
          <w:szCs w:val="24"/>
          <w:lang w:val="en-US"/>
        </w:rPr>
        <w:t xml:space="preserve">6.1.6 </w:t>
      </w:r>
      <w:r>
        <w:rPr>
          <w:rFonts w:ascii="Times New Roman" w:hAnsi="Times New Roman"/>
          <w:szCs w:val="24"/>
          <w:lang w:val="en-US"/>
        </w:rPr>
        <w:t>Environmental Management and Coordination Act of 1999 (EMCA) and Environmental Management and Coordination (Amendment) Act 2015</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_Toc23128 \h </w:instrText>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fldChar w:fldCharType="end"/>
      </w:r>
    </w:p>
    <w:p w14:paraId="2A72D87D">
      <w:pPr>
        <w:pStyle w:val="25"/>
        <w:tabs>
          <w:tab w:val="right" w:leader="dot" w:pos="9590"/>
        </w:tabs>
        <w:rPr>
          <w:rFonts w:ascii="Times New Roman" w:hAnsi="Times New Roman"/>
        </w:rPr>
      </w:pPr>
      <w:r>
        <w:fldChar w:fldCharType="begin"/>
      </w:r>
      <w:r>
        <w:instrText xml:space="preserve"> HYPERLINK \l "_Toc29815" </w:instrText>
      </w:r>
      <w:r>
        <w:fldChar w:fldCharType="separate"/>
      </w:r>
      <w:r>
        <w:rPr>
          <w:rFonts w:ascii="Times New Roman" w:hAnsi="Times New Roman"/>
          <w:bCs/>
          <w:szCs w:val="24"/>
          <w:lang w:val="en-US"/>
        </w:rPr>
        <w:t xml:space="preserve">6.1.7 </w:t>
      </w:r>
      <w:r>
        <w:rPr>
          <w:rFonts w:ascii="Times New Roman" w:hAnsi="Times New Roman"/>
          <w:szCs w:val="24"/>
          <w:lang w:val="en-US"/>
        </w:rPr>
        <w:t>Environment and Land Court Act, 2011</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_Toc29815 \h </w:instrText>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fldChar w:fldCharType="end"/>
      </w:r>
    </w:p>
    <w:p w14:paraId="12E80456">
      <w:pPr>
        <w:pStyle w:val="25"/>
        <w:tabs>
          <w:tab w:val="right" w:leader="dot" w:pos="9590"/>
        </w:tabs>
        <w:rPr>
          <w:rFonts w:ascii="Times New Roman" w:hAnsi="Times New Roman"/>
        </w:rPr>
      </w:pPr>
      <w:r>
        <w:fldChar w:fldCharType="begin"/>
      </w:r>
      <w:r>
        <w:instrText xml:space="preserve"> HYPERLINK \l "_Toc601" </w:instrText>
      </w:r>
      <w:r>
        <w:fldChar w:fldCharType="separate"/>
      </w:r>
      <w:r>
        <w:rPr>
          <w:rFonts w:ascii="Times New Roman" w:hAnsi="Times New Roman"/>
          <w:bCs/>
          <w:szCs w:val="24"/>
          <w:lang w:val="en-US"/>
        </w:rPr>
        <w:t xml:space="preserve">6.1.8 </w:t>
      </w:r>
      <w:r>
        <w:rPr>
          <w:rFonts w:ascii="Times New Roman" w:hAnsi="Times New Roman"/>
          <w:szCs w:val="24"/>
          <w:lang w:val="en-US"/>
        </w:rPr>
        <w:t>Land Act, 2012</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_Toc601 \h </w:instrText>
      </w:r>
      <w:r>
        <w:rPr>
          <w:rFonts w:ascii="Times New Roman" w:hAnsi="Times New Roman"/>
        </w:rPr>
        <w:fldChar w:fldCharType="separate"/>
      </w:r>
      <w:r>
        <w:rPr>
          <w:rFonts w:ascii="Times New Roman" w:hAnsi="Times New Roman"/>
        </w:rPr>
        <w:t>43</w:t>
      </w:r>
      <w:r>
        <w:rPr>
          <w:rFonts w:ascii="Times New Roman" w:hAnsi="Times New Roman"/>
        </w:rPr>
        <w:fldChar w:fldCharType="end"/>
      </w:r>
      <w:r>
        <w:rPr>
          <w:rFonts w:ascii="Times New Roman" w:hAnsi="Times New Roman"/>
        </w:rPr>
        <w:fldChar w:fldCharType="end"/>
      </w:r>
    </w:p>
    <w:p w14:paraId="69FB114F">
      <w:pPr>
        <w:pStyle w:val="25"/>
        <w:tabs>
          <w:tab w:val="right" w:leader="dot" w:pos="9590"/>
        </w:tabs>
        <w:rPr>
          <w:rFonts w:ascii="Times New Roman" w:hAnsi="Times New Roman"/>
        </w:rPr>
      </w:pPr>
      <w:r>
        <w:fldChar w:fldCharType="begin"/>
      </w:r>
      <w:r>
        <w:instrText xml:space="preserve"> HYPERLINK \l "_Toc16737" </w:instrText>
      </w:r>
      <w:r>
        <w:fldChar w:fldCharType="separate"/>
      </w:r>
      <w:r>
        <w:rPr>
          <w:rFonts w:ascii="Times New Roman" w:hAnsi="Times New Roman"/>
          <w:bCs/>
          <w:szCs w:val="24"/>
          <w:lang w:val="en-US"/>
        </w:rPr>
        <w:t xml:space="preserve">6.1.9 </w:t>
      </w:r>
      <w:r>
        <w:rPr>
          <w:rFonts w:ascii="Times New Roman" w:hAnsi="Times New Roman"/>
          <w:szCs w:val="24"/>
          <w:lang w:val="en-US"/>
        </w:rPr>
        <w:t>County Government Act No. 17 of 2012</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_Toc16737 \h </w:instrText>
      </w:r>
      <w:r>
        <w:rPr>
          <w:rFonts w:ascii="Times New Roman" w:hAnsi="Times New Roman"/>
        </w:rPr>
        <w:fldChar w:fldCharType="separate"/>
      </w:r>
      <w:r>
        <w:rPr>
          <w:rFonts w:ascii="Times New Roman" w:hAnsi="Times New Roman"/>
        </w:rPr>
        <w:t>43</w:t>
      </w:r>
      <w:r>
        <w:rPr>
          <w:rFonts w:ascii="Times New Roman" w:hAnsi="Times New Roman"/>
        </w:rPr>
        <w:fldChar w:fldCharType="end"/>
      </w:r>
      <w:r>
        <w:rPr>
          <w:rFonts w:ascii="Times New Roman" w:hAnsi="Times New Roman"/>
        </w:rPr>
        <w:fldChar w:fldCharType="end"/>
      </w:r>
    </w:p>
    <w:p w14:paraId="5FD3FB22">
      <w:pPr>
        <w:pStyle w:val="25"/>
        <w:tabs>
          <w:tab w:val="right" w:leader="dot" w:pos="9590"/>
        </w:tabs>
        <w:rPr>
          <w:rFonts w:ascii="Times New Roman" w:hAnsi="Times New Roman"/>
        </w:rPr>
      </w:pPr>
      <w:r>
        <w:fldChar w:fldCharType="begin"/>
      </w:r>
      <w:r>
        <w:instrText xml:space="preserve"> HYPERLINK \l "_Toc4591" </w:instrText>
      </w:r>
      <w:r>
        <w:fldChar w:fldCharType="separate"/>
      </w:r>
      <w:r>
        <w:rPr>
          <w:rFonts w:ascii="Times New Roman" w:hAnsi="Times New Roman"/>
          <w:bCs/>
          <w:szCs w:val="24"/>
          <w:lang w:val="en-US"/>
        </w:rPr>
        <w:t xml:space="preserve">6.1.10 </w:t>
      </w:r>
      <w:r>
        <w:rPr>
          <w:rFonts w:ascii="Times New Roman" w:hAnsi="Times New Roman"/>
          <w:szCs w:val="24"/>
          <w:lang w:val="en-US"/>
        </w:rPr>
        <w:t>Physical and Land Use Development Plan Act 2019</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_Toc4591 \h </w:instrText>
      </w:r>
      <w:r>
        <w:rPr>
          <w:rFonts w:ascii="Times New Roman" w:hAnsi="Times New Roman"/>
        </w:rPr>
        <w:fldChar w:fldCharType="separate"/>
      </w:r>
      <w:r>
        <w:rPr>
          <w:rFonts w:ascii="Times New Roman" w:hAnsi="Times New Roman"/>
        </w:rPr>
        <w:t>43</w:t>
      </w:r>
      <w:r>
        <w:rPr>
          <w:rFonts w:ascii="Times New Roman" w:hAnsi="Times New Roman"/>
        </w:rPr>
        <w:fldChar w:fldCharType="end"/>
      </w:r>
      <w:r>
        <w:rPr>
          <w:rFonts w:ascii="Times New Roman" w:hAnsi="Times New Roman"/>
        </w:rPr>
        <w:fldChar w:fldCharType="end"/>
      </w:r>
    </w:p>
    <w:p w14:paraId="625635B8">
      <w:pPr>
        <w:pStyle w:val="25"/>
        <w:tabs>
          <w:tab w:val="right" w:leader="dot" w:pos="9590"/>
        </w:tabs>
        <w:rPr>
          <w:rFonts w:ascii="Times New Roman" w:hAnsi="Times New Roman"/>
        </w:rPr>
      </w:pPr>
      <w:r>
        <w:fldChar w:fldCharType="begin"/>
      </w:r>
      <w:r>
        <w:instrText xml:space="preserve"> HYPERLINK \l "_Toc24645" </w:instrText>
      </w:r>
      <w:r>
        <w:fldChar w:fldCharType="separate"/>
      </w:r>
      <w:r>
        <w:rPr>
          <w:rFonts w:ascii="Times New Roman" w:hAnsi="Times New Roman"/>
          <w:bCs/>
          <w:szCs w:val="24"/>
          <w:lang w:val="en-US"/>
        </w:rPr>
        <w:t xml:space="preserve">6.1.11 </w:t>
      </w:r>
      <w:r>
        <w:rPr>
          <w:rFonts w:ascii="Times New Roman" w:hAnsi="Times New Roman"/>
          <w:szCs w:val="24"/>
          <w:lang w:val="en-US"/>
        </w:rPr>
        <w:t>Occupational Health and Safety Act (OSHA), 2007</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_Toc24645 \h </w:instrText>
      </w:r>
      <w:r>
        <w:rPr>
          <w:rFonts w:ascii="Times New Roman" w:hAnsi="Times New Roman"/>
        </w:rPr>
        <w:fldChar w:fldCharType="separate"/>
      </w:r>
      <w:r>
        <w:rPr>
          <w:rFonts w:ascii="Times New Roman" w:hAnsi="Times New Roman"/>
        </w:rPr>
        <w:t>44</w:t>
      </w:r>
      <w:r>
        <w:rPr>
          <w:rFonts w:ascii="Times New Roman" w:hAnsi="Times New Roman"/>
        </w:rPr>
        <w:fldChar w:fldCharType="end"/>
      </w:r>
      <w:r>
        <w:rPr>
          <w:rFonts w:ascii="Times New Roman" w:hAnsi="Times New Roman"/>
        </w:rPr>
        <w:fldChar w:fldCharType="end"/>
      </w:r>
    </w:p>
    <w:p w14:paraId="2057C30A">
      <w:pPr>
        <w:pStyle w:val="25"/>
        <w:tabs>
          <w:tab w:val="right" w:leader="dot" w:pos="9590"/>
        </w:tabs>
        <w:rPr>
          <w:rFonts w:ascii="Times New Roman" w:hAnsi="Times New Roman"/>
        </w:rPr>
      </w:pPr>
      <w:r>
        <w:fldChar w:fldCharType="begin"/>
      </w:r>
      <w:r>
        <w:instrText xml:space="preserve"> HYPERLINK \l "_Toc14965" </w:instrText>
      </w:r>
      <w:r>
        <w:fldChar w:fldCharType="separate"/>
      </w:r>
      <w:r>
        <w:rPr>
          <w:rFonts w:ascii="Times New Roman" w:hAnsi="Times New Roman"/>
          <w:bCs/>
          <w:szCs w:val="24"/>
          <w:lang w:val="en-US"/>
        </w:rPr>
        <w:t xml:space="preserve">6.1.12 </w:t>
      </w:r>
      <w:r>
        <w:rPr>
          <w:rFonts w:ascii="Times New Roman" w:hAnsi="Times New Roman"/>
          <w:szCs w:val="24"/>
          <w:lang w:val="en-US"/>
        </w:rPr>
        <w:t>HIV and AIDS Prevention and Control Act 2011</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_Toc14965 \h </w:instrText>
      </w:r>
      <w:r>
        <w:rPr>
          <w:rFonts w:ascii="Times New Roman" w:hAnsi="Times New Roman"/>
        </w:rPr>
        <w:fldChar w:fldCharType="separate"/>
      </w:r>
      <w:r>
        <w:rPr>
          <w:rFonts w:ascii="Times New Roman" w:hAnsi="Times New Roman"/>
        </w:rPr>
        <w:t>44</w:t>
      </w:r>
      <w:r>
        <w:rPr>
          <w:rFonts w:ascii="Times New Roman" w:hAnsi="Times New Roman"/>
        </w:rPr>
        <w:fldChar w:fldCharType="end"/>
      </w:r>
      <w:r>
        <w:rPr>
          <w:rFonts w:ascii="Times New Roman" w:hAnsi="Times New Roman"/>
        </w:rPr>
        <w:fldChar w:fldCharType="end"/>
      </w:r>
    </w:p>
    <w:p w14:paraId="61E21F63">
      <w:pPr>
        <w:pStyle w:val="25"/>
        <w:tabs>
          <w:tab w:val="right" w:leader="dot" w:pos="9590"/>
        </w:tabs>
        <w:rPr>
          <w:rFonts w:ascii="Times New Roman" w:hAnsi="Times New Roman"/>
        </w:rPr>
      </w:pPr>
      <w:r>
        <w:fldChar w:fldCharType="begin"/>
      </w:r>
      <w:r>
        <w:instrText xml:space="preserve"> HYPERLINK \l "_Toc3263" </w:instrText>
      </w:r>
      <w:r>
        <w:fldChar w:fldCharType="separate"/>
      </w:r>
      <w:r>
        <w:rPr>
          <w:rFonts w:ascii="Times New Roman" w:hAnsi="Times New Roman"/>
          <w:bCs/>
          <w:szCs w:val="24"/>
          <w:lang w:val="en-US"/>
        </w:rPr>
        <w:t xml:space="preserve">6.1.13 </w:t>
      </w:r>
      <w:r>
        <w:rPr>
          <w:rFonts w:ascii="Times New Roman" w:hAnsi="Times New Roman"/>
          <w:szCs w:val="24"/>
          <w:lang w:val="en-US"/>
        </w:rPr>
        <w:t>Sexual Offences Act 2006</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_Toc3263 \h </w:instrText>
      </w:r>
      <w:r>
        <w:rPr>
          <w:rFonts w:ascii="Times New Roman" w:hAnsi="Times New Roman"/>
        </w:rPr>
        <w:fldChar w:fldCharType="separate"/>
      </w:r>
      <w:r>
        <w:rPr>
          <w:rFonts w:ascii="Times New Roman" w:hAnsi="Times New Roman"/>
        </w:rPr>
        <w:t>44</w:t>
      </w:r>
      <w:r>
        <w:rPr>
          <w:rFonts w:ascii="Times New Roman" w:hAnsi="Times New Roman"/>
        </w:rPr>
        <w:fldChar w:fldCharType="end"/>
      </w:r>
      <w:r>
        <w:rPr>
          <w:rFonts w:ascii="Times New Roman" w:hAnsi="Times New Roman"/>
        </w:rPr>
        <w:fldChar w:fldCharType="end"/>
      </w:r>
    </w:p>
    <w:p w14:paraId="3ADB011E">
      <w:pPr>
        <w:pStyle w:val="25"/>
        <w:tabs>
          <w:tab w:val="right" w:leader="dot" w:pos="9590"/>
        </w:tabs>
        <w:rPr>
          <w:rFonts w:ascii="Times New Roman" w:hAnsi="Times New Roman"/>
        </w:rPr>
      </w:pPr>
      <w:r>
        <w:fldChar w:fldCharType="begin"/>
      </w:r>
      <w:r>
        <w:instrText xml:space="preserve"> HYPERLINK \l "_Toc8703" </w:instrText>
      </w:r>
      <w:r>
        <w:fldChar w:fldCharType="separate"/>
      </w:r>
      <w:r>
        <w:rPr>
          <w:rFonts w:ascii="Times New Roman" w:hAnsi="Times New Roman"/>
          <w:bCs/>
          <w:szCs w:val="24"/>
          <w:lang w:val="en-US"/>
        </w:rPr>
        <w:t xml:space="preserve">6.1.14 </w:t>
      </w:r>
      <w:r>
        <w:rPr>
          <w:rFonts w:ascii="Times New Roman" w:hAnsi="Times New Roman"/>
          <w:szCs w:val="24"/>
          <w:lang w:val="en-US"/>
        </w:rPr>
        <w:t>Child Rights Act (Amendment Bill) 2014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_Toc8703 \h </w:instrText>
      </w:r>
      <w:r>
        <w:rPr>
          <w:rFonts w:ascii="Times New Roman" w:hAnsi="Times New Roman"/>
        </w:rPr>
        <w:fldChar w:fldCharType="separate"/>
      </w:r>
      <w:r>
        <w:rPr>
          <w:rFonts w:ascii="Times New Roman" w:hAnsi="Times New Roman"/>
        </w:rPr>
        <w:t>44</w:t>
      </w:r>
      <w:r>
        <w:rPr>
          <w:rFonts w:ascii="Times New Roman" w:hAnsi="Times New Roman"/>
        </w:rPr>
        <w:fldChar w:fldCharType="end"/>
      </w:r>
      <w:r>
        <w:rPr>
          <w:rFonts w:ascii="Times New Roman" w:hAnsi="Times New Roman"/>
        </w:rPr>
        <w:fldChar w:fldCharType="end"/>
      </w:r>
    </w:p>
    <w:p w14:paraId="7EC6A1CE">
      <w:pPr>
        <w:pStyle w:val="25"/>
        <w:tabs>
          <w:tab w:val="right" w:leader="dot" w:pos="9590"/>
        </w:tabs>
        <w:rPr>
          <w:rFonts w:ascii="Times New Roman" w:hAnsi="Times New Roman"/>
        </w:rPr>
      </w:pPr>
      <w:r>
        <w:fldChar w:fldCharType="begin"/>
      </w:r>
      <w:r>
        <w:instrText xml:space="preserve"> HYPERLINK \l "_Toc29147" </w:instrText>
      </w:r>
      <w:r>
        <w:fldChar w:fldCharType="separate"/>
      </w:r>
      <w:r>
        <w:rPr>
          <w:rFonts w:ascii="Times New Roman" w:hAnsi="Times New Roman"/>
          <w:bCs/>
          <w:szCs w:val="24"/>
          <w:lang w:val="en-US"/>
        </w:rPr>
        <w:t xml:space="preserve">6.1.15 </w:t>
      </w:r>
      <w:r>
        <w:rPr>
          <w:rFonts w:ascii="Times New Roman" w:hAnsi="Times New Roman"/>
          <w:szCs w:val="24"/>
          <w:lang w:val="en-US"/>
        </w:rPr>
        <w:t>Labour Relations Act 2012</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_Toc29147 \h </w:instrText>
      </w:r>
      <w:r>
        <w:rPr>
          <w:rFonts w:ascii="Times New Roman" w:hAnsi="Times New Roman"/>
        </w:rPr>
        <w:fldChar w:fldCharType="separate"/>
      </w:r>
      <w:r>
        <w:rPr>
          <w:rFonts w:ascii="Times New Roman" w:hAnsi="Times New Roman"/>
        </w:rPr>
        <w:t>44</w:t>
      </w:r>
      <w:r>
        <w:rPr>
          <w:rFonts w:ascii="Times New Roman" w:hAnsi="Times New Roman"/>
        </w:rPr>
        <w:fldChar w:fldCharType="end"/>
      </w:r>
      <w:r>
        <w:rPr>
          <w:rFonts w:ascii="Times New Roman" w:hAnsi="Times New Roman"/>
        </w:rPr>
        <w:fldChar w:fldCharType="end"/>
      </w:r>
    </w:p>
    <w:p w14:paraId="253A47BC">
      <w:pPr>
        <w:pStyle w:val="25"/>
        <w:tabs>
          <w:tab w:val="right" w:leader="dot" w:pos="9590"/>
        </w:tabs>
        <w:rPr>
          <w:rFonts w:ascii="Times New Roman" w:hAnsi="Times New Roman"/>
        </w:rPr>
      </w:pPr>
      <w:r>
        <w:fldChar w:fldCharType="begin"/>
      </w:r>
      <w:r>
        <w:instrText xml:space="preserve"> HYPERLINK \l "_Toc30628" </w:instrText>
      </w:r>
      <w:r>
        <w:fldChar w:fldCharType="separate"/>
      </w:r>
      <w:r>
        <w:rPr>
          <w:rFonts w:ascii="Times New Roman" w:hAnsi="Times New Roman"/>
          <w:bCs/>
          <w:szCs w:val="24"/>
          <w:lang w:val="en-US"/>
        </w:rPr>
        <w:t xml:space="preserve">6.1.16 </w:t>
      </w:r>
      <w:r>
        <w:rPr>
          <w:rFonts w:ascii="Times New Roman" w:hAnsi="Times New Roman"/>
          <w:szCs w:val="24"/>
          <w:lang w:val="en-US"/>
        </w:rPr>
        <w:t>Traffic Act 2015</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_Toc30628 \h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r>
        <w:rPr>
          <w:rFonts w:ascii="Times New Roman" w:hAnsi="Times New Roman"/>
        </w:rPr>
        <w:fldChar w:fldCharType="end"/>
      </w:r>
    </w:p>
    <w:p w14:paraId="47DEC05A">
      <w:pPr>
        <w:pStyle w:val="25"/>
        <w:tabs>
          <w:tab w:val="right" w:leader="dot" w:pos="9590"/>
        </w:tabs>
        <w:rPr>
          <w:rFonts w:ascii="Times New Roman" w:hAnsi="Times New Roman"/>
        </w:rPr>
      </w:pPr>
      <w:r>
        <w:fldChar w:fldCharType="begin"/>
      </w:r>
      <w:r>
        <w:instrText xml:space="preserve"> HYPERLINK \l "_Toc22941" </w:instrText>
      </w:r>
      <w:r>
        <w:fldChar w:fldCharType="separate"/>
      </w:r>
      <w:r>
        <w:rPr>
          <w:rFonts w:ascii="Times New Roman" w:hAnsi="Times New Roman"/>
          <w:bCs/>
          <w:szCs w:val="24"/>
          <w:lang w:val="en-US"/>
        </w:rPr>
        <w:t xml:space="preserve">6.1.17 </w:t>
      </w:r>
      <w:r>
        <w:rPr>
          <w:rFonts w:ascii="Times New Roman" w:hAnsi="Times New Roman"/>
          <w:szCs w:val="24"/>
          <w:lang w:val="en-US"/>
        </w:rPr>
        <w:t>Public Health Act, Cap 242</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_Toc22941 \h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r>
        <w:rPr>
          <w:rFonts w:ascii="Times New Roman" w:hAnsi="Times New Roman"/>
        </w:rPr>
        <w:fldChar w:fldCharType="end"/>
      </w:r>
    </w:p>
    <w:p w14:paraId="47861A5B">
      <w:pPr>
        <w:pStyle w:val="24"/>
        <w:tabs>
          <w:tab w:val="right" w:leader="dot" w:pos="9590"/>
        </w:tabs>
        <w:rPr>
          <w:rFonts w:ascii="Times New Roman" w:hAnsi="Times New Roman"/>
        </w:rPr>
      </w:pPr>
      <w:r>
        <w:fldChar w:fldCharType="begin"/>
      </w:r>
      <w:r>
        <w:instrText xml:space="preserve"> HYPERLINK \l "_Toc8034" </w:instrText>
      </w:r>
      <w:r>
        <w:fldChar w:fldCharType="separate"/>
      </w:r>
      <w:r>
        <w:rPr>
          <w:rFonts w:ascii="Times New Roman" w:hAnsi="Times New Roman"/>
          <w:szCs w:val="24"/>
        </w:rPr>
        <w:t>Regulations and Rules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_Toc8034 \h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r>
        <w:rPr>
          <w:rFonts w:ascii="Times New Roman" w:hAnsi="Times New Roman"/>
        </w:rPr>
        <w:fldChar w:fldCharType="end"/>
      </w:r>
    </w:p>
    <w:p w14:paraId="7EADF0D8">
      <w:pPr>
        <w:pStyle w:val="25"/>
        <w:tabs>
          <w:tab w:val="right" w:leader="dot" w:pos="9590"/>
        </w:tabs>
        <w:rPr>
          <w:rFonts w:ascii="Times New Roman" w:hAnsi="Times New Roman"/>
        </w:rPr>
      </w:pPr>
      <w:r>
        <w:fldChar w:fldCharType="begin"/>
      </w:r>
      <w:r>
        <w:instrText xml:space="preserve"> HYPERLINK \l "_Toc31223" </w:instrText>
      </w:r>
      <w:r>
        <w:fldChar w:fldCharType="separate"/>
      </w:r>
      <w:r>
        <w:rPr>
          <w:rFonts w:ascii="Times New Roman" w:hAnsi="Times New Roman"/>
          <w:bCs/>
          <w:szCs w:val="24"/>
          <w:lang w:val="en-US"/>
        </w:rPr>
        <w:t xml:space="preserve">6.1.18 </w:t>
      </w:r>
      <w:r>
        <w:rPr>
          <w:rFonts w:ascii="Times New Roman" w:hAnsi="Times New Roman"/>
          <w:szCs w:val="24"/>
          <w:lang w:val="en-US"/>
        </w:rPr>
        <w:t>The Environmental (Impact Assessment and Audit) Regulations, 2003 amended in 2019</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_Toc31223 \h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r>
        <w:rPr>
          <w:rFonts w:ascii="Times New Roman" w:hAnsi="Times New Roman"/>
        </w:rPr>
        <w:fldChar w:fldCharType="end"/>
      </w:r>
    </w:p>
    <w:p w14:paraId="71FD7BDD">
      <w:pPr>
        <w:pStyle w:val="25"/>
        <w:tabs>
          <w:tab w:val="right" w:leader="dot" w:pos="9590"/>
        </w:tabs>
        <w:rPr>
          <w:rFonts w:ascii="Times New Roman" w:hAnsi="Times New Roman"/>
        </w:rPr>
      </w:pPr>
      <w:r>
        <w:fldChar w:fldCharType="begin"/>
      </w:r>
      <w:r>
        <w:instrText xml:space="preserve"> HYPERLINK \l "_Toc22974" </w:instrText>
      </w:r>
      <w:r>
        <w:fldChar w:fldCharType="separate"/>
      </w:r>
      <w:r>
        <w:rPr>
          <w:rFonts w:ascii="Times New Roman" w:hAnsi="Times New Roman"/>
          <w:bCs/>
          <w:szCs w:val="24"/>
          <w:lang w:val="en-US"/>
        </w:rPr>
        <w:t xml:space="preserve">6.1.19 </w:t>
      </w:r>
      <w:r>
        <w:rPr>
          <w:rFonts w:ascii="Times New Roman" w:hAnsi="Times New Roman"/>
          <w:szCs w:val="24"/>
          <w:lang w:val="en-US"/>
        </w:rPr>
        <w:t>Environmental Management and Coordination (Water Quality) Regulations, 2006</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_Toc22974 \h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r>
        <w:rPr>
          <w:rFonts w:ascii="Times New Roman" w:hAnsi="Times New Roman"/>
        </w:rPr>
        <w:fldChar w:fldCharType="end"/>
      </w:r>
    </w:p>
    <w:p w14:paraId="2485AE9E">
      <w:pPr>
        <w:pStyle w:val="25"/>
        <w:tabs>
          <w:tab w:val="right" w:leader="dot" w:pos="9590"/>
        </w:tabs>
        <w:rPr>
          <w:rFonts w:ascii="Times New Roman" w:hAnsi="Times New Roman"/>
        </w:rPr>
      </w:pPr>
      <w:r>
        <w:fldChar w:fldCharType="begin"/>
      </w:r>
      <w:r>
        <w:instrText xml:space="preserve"> HYPERLINK \l "_Toc21059" </w:instrText>
      </w:r>
      <w:r>
        <w:fldChar w:fldCharType="separate"/>
      </w:r>
      <w:r>
        <w:rPr>
          <w:rFonts w:ascii="Times New Roman" w:hAnsi="Times New Roman"/>
          <w:bCs/>
          <w:szCs w:val="24"/>
          <w:lang w:val="en-US"/>
        </w:rPr>
        <w:t xml:space="preserve">6.1.20 </w:t>
      </w:r>
      <w:r>
        <w:rPr>
          <w:rFonts w:ascii="Times New Roman" w:hAnsi="Times New Roman"/>
          <w:szCs w:val="24"/>
          <w:lang w:val="en-US"/>
        </w:rPr>
        <w:t>Environmental Management and Coordination, Waste Management Regulations, 2006</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_Toc21059 \h </w:instrText>
      </w:r>
      <w:r>
        <w:rPr>
          <w:rFonts w:ascii="Times New Roman" w:hAnsi="Times New Roman"/>
        </w:rPr>
        <w:fldChar w:fldCharType="separate"/>
      </w:r>
      <w:r>
        <w:rPr>
          <w:rFonts w:ascii="Times New Roman" w:hAnsi="Times New Roman"/>
        </w:rPr>
        <w:t>46</w:t>
      </w:r>
      <w:r>
        <w:rPr>
          <w:rFonts w:ascii="Times New Roman" w:hAnsi="Times New Roman"/>
        </w:rPr>
        <w:fldChar w:fldCharType="end"/>
      </w:r>
      <w:r>
        <w:rPr>
          <w:rFonts w:ascii="Times New Roman" w:hAnsi="Times New Roman"/>
        </w:rPr>
        <w:fldChar w:fldCharType="end"/>
      </w:r>
    </w:p>
    <w:p w14:paraId="3788BB71">
      <w:pPr>
        <w:pStyle w:val="25"/>
        <w:tabs>
          <w:tab w:val="right" w:leader="dot" w:pos="9590"/>
        </w:tabs>
        <w:rPr>
          <w:rFonts w:ascii="Times New Roman" w:hAnsi="Times New Roman"/>
        </w:rPr>
      </w:pPr>
      <w:r>
        <w:fldChar w:fldCharType="begin"/>
      </w:r>
      <w:r>
        <w:instrText xml:space="preserve"> HYPERLINK \l "_Toc11730" </w:instrText>
      </w:r>
      <w:r>
        <w:fldChar w:fldCharType="separate"/>
      </w:r>
      <w:r>
        <w:rPr>
          <w:rFonts w:ascii="Times New Roman" w:hAnsi="Times New Roman"/>
          <w:bCs/>
          <w:szCs w:val="24"/>
          <w:lang w:val="en-US"/>
        </w:rPr>
        <w:t xml:space="preserve">6.1.21 </w:t>
      </w:r>
      <w:r>
        <w:rPr>
          <w:rFonts w:ascii="Times New Roman" w:hAnsi="Times New Roman"/>
          <w:szCs w:val="24"/>
          <w:lang w:val="en-US"/>
        </w:rPr>
        <w:t>Environmental Management and Coordination, Noise and Excessive Vibration Pollution (Control) Regulations, 2009</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_Toc11730 \h </w:instrText>
      </w:r>
      <w:r>
        <w:rPr>
          <w:rFonts w:ascii="Times New Roman" w:hAnsi="Times New Roman"/>
        </w:rPr>
        <w:fldChar w:fldCharType="separate"/>
      </w:r>
      <w:r>
        <w:rPr>
          <w:rFonts w:ascii="Times New Roman" w:hAnsi="Times New Roman"/>
        </w:rPr>
        <w:t>46</w:t>
      </w:r>
      <w:r>
        <w:rPr>
          <w:rFonts w:ascii="Times New Roman" w:hAnsi="Times New Roman"/>
        </w:rPr>
        <w:fldChar w:fldCharType="end"/>
      </w:r>
      <w:r>
        <w:rPr>
          <w:rFonts w:ascii="Times New Roman" w:hAnsi="Times New Roman"/>
        </w:rPr>
        <w:fldChar w:fldCharType="end"/>
      </w:r>
    </w:p>
    <w:p w14:paraId="138BA1F0">
      <w:pPr>
        <w:pStyle w:val="25"/>
        <w:tabs>
          <w:tab w:val="right" w:leader="dot" w:pos="9590"/>
        </w:tabs>
        <w:rPr>
          <w:rFonts w:ascii="Times New Roman" w:hAnsi="Times New Roman"/>
        </w:rPr>
      </w:pPr>
      <w:r>
        <w:fldChar w:fldCharType="begin"/>
      </w:r>
      <w:r>
        <w:instrText xml:space="preserve"> HYPERLINK \l "_Toc26044" </w:instrText>
      </w:r>
      <w:r>
        <w:fldChar w:fldCharType="separate"/>
      </w:r>
      <w:r>
        <w:rPr>
          <w:rFonts w:ascii="Times New Roman" w:hAnsi="Times New Roman"/>
          <w:bCs/>
          <w:szCs w:val="24"/>
          <w:lang w:val="en-US"/>
        </w:rPr>
        <w:t xml:space="preserve">6.1.22 </w:t>
      </w:r>
      <w:r>
        <w:rPr>
          <w:rFonts w:ascii="Times New Roman" w:hAnsi="Times New Roman"/>
          <w:szCs w:val="24"/>
          <w:lang w:val="en-US"/>
        </w:rPr>
        <w:t>Environmental Management and Coordination (Air Quality Regulations 2014)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_Toc26044 \h </w:instrText>
      </w:r>
      <w:r>
        <w:rPr>
          <w:rFonts w:ascii="Times New Roman" w:hAnsi="Times New Roman"/>
        </w:rPr>
        <w:fldChar w:fldCharType="separate"/>
      </w:r>
      <w:r>
        <w:rPr>
          <w:rFonts w:ascii="Times New Roman" w:hAnsi="Times New Roman"/>
        </w:rPr>
        <w:t>46</w:t>
      </w:r>
      <w:r>
        <w:rPr>
          <w:rFonts w:ascii="Times New Roman" w:hAnsi="Times New Roman"/>
        </w:rPr>
        <w:fldChar w:fldCharType="end"/>
      </w:r>
      <w:r>
        <w:rPr>
          <w:rFonts w:ascii="Times New Roman" w:hAnsi="Times New Roman"/>
        </w:rPr>
        <w:fldChar w:fldCharType="end"/>
      </w:r>
    </w:p>
    <w:p w14:paraId="6ED03D64">
      <w:pPr>
        <w:pStyle w:val="25"/>
        <w:tabs>
          <w:tab w:val="right" w:leader="dot" w:pos="9590"/>
        </w:tabs>
        <w:rPr>
          <w:rFonts w:ascii="Times New Roman" w:hAnsi="Times New Roman"/>
        </w:rPr>
      </w:pPr>
      <w:r>
        <w:fldChar w:fldCharType="begin"/>
      </w:r>
      <w:r>
        <w:instrText xml:space="preserve"> HYPERLINK \l "_Toc20588" </w:instrText>
      </w:r>
      <w:r>
        <w:fldChar w:fldCharType="separate"/>
      </w:r>
      <w:r>
        <w:rPr>
          <w:rFonts w:ascii="Times New Roman" w:hAnsi="Times New Roman"/>
          <w:bCs/>
          <w:szCs w:val="24"/>
          <w:lang w:val="en-US"/>
        </w:rPr>
        <w:t xml:space="preserve">6.1.23 </w:t>
      </w:r>
      <w:r>
        <w:rPr>
          <w:rFonts w:ascii="Times New Roman" w:hAnsi="Times New Roman"/>
          <w:szCs w:val="24"/>
          <w:lang w:val="en-US"/>
        </w:rPr>
        <w:t>Fire Risk Reduction Rules, 2007</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_Toc20588 \h </w:instrText>
      </w:r>
      <w:r>
        <w:rPr>
          <w:rFonts w:ascii="Times New Roman" w:hAnsi="Times New Roman"/>
        </w:rPr>
        <w:fldChar w:fldCharType="separate"/>
      </w:r>
      <w:r>
        <w:rPr>
          <w:rFonts w:ascii="Times New Roman" w:hAnsi="Times New Roman"/>
        </w:rPr>
        <w:t>46</w:t>
      </w:r>
      <w:r>
        <w:rPr>
          <w:rFonts w:ascii="Times New Roman" w:hAnsi="Times New Roman"/>
        </w:rPr>
        <w:fldChar w:fldCharType="end"/>
      </w:r>
      <w:r>
        <w:rPr>
          <w:rFonts w:ascii="Times New Roman" w:hAnsi="Times New Roman"/>
        </w:rPr>
        <w:fldChar w:fldCharType="end"/>
      </w:r>
    </w:p>
    <w:p w14:paraId="45D010ED">
      <w:pPr>
        <w:pStyle w:val="25"/>
        <w:tabs>
          <w:tab w:val="right" w:leader="dot" w:pos="9590"/>
        </w:tabs>
        <w:rPr>
          <w:rFonts w:ascii="Times New Roman" w:hAnsi="Times New Roman"/>
        </w:rPr>
      </w:pPr>
      <w:r>
        <w:fldChar w:fldCharType="begin"/>
      </w:r>
      <w:r>
        <w:instrText xml:space="preserve"> HYPERLINK \l "_Toc17032" </w:instrText>
      </w:r>
      <w:r>
        <w:fldChar w:fldCharType="separate"/>
      </w:r>
      <w:r>
        <w:rPr>
          <w:rFonts w:ascii="Times New Roman" w:hAnsi="Times New Roman"/>
          <w:bCs/>
          <w:szCs w:val="24"/>
          <w:lang w:val="en-US"/>
        </w:rPr>
        <w:t xml:space="preserve">6.1.24 </w:t>
      </w:r>
      <w:r>
        <w:rPr>
          <w:rFonts w:ascii="Times New Roman" w:hAnsi="Times New Roman"/>
          <w:szCs w:val="24"/>
          <w:lang w:val="en-US"/>
        </w:rPr>
        <w:t>Safety and Health Committee Rules of 2004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_Toc17032 \h </w:instrText>
      </w:r>
      <w:r>
        <w:rPr>
          <w:rFonts w:ascii="Times New Roman" w:hAnsi="Times New Roman"/>
        </w:rPr>
        <w:fldChar w:fldCharType="separate"/>
      </w:r>
      <w:r>
        <w:rPr>
          <w:rFonts w:ascii="Times New Roman" w:hAnsi="Times New Roman"/>
        </w:rPr>
        <w:t>46</w:t>
      </w:r>
      <w:r>
        <w:rPr>
          <w:rFonts w:ascii="Times New Roman" w:hAnsi="Times New Roman"/>
        </w:rPr>
        <w:fldChar w:fldCharType="end"/>
      </w:r>
      <w:r>
        <w:rPr>
          <w:rFonts w:ascii="Times New Roman" w:hAnsi="Times New Roman"/>
        </w:rPr>
        <w:fldChar w:fldCharType="end"/>
      </w:r>
    </w:p>
    <w:p w14:paraId="5A2627A4">
      <w:pPr>
        <w:pStyle w:val="25"/>
        <w:tabs>
          <w:tab w:val="right" w:leader="dot" w:pos="9590"/>
        </w:tabs>
        <w:rPr>
          <w:rFonts w:ascii="Times New Roman" w:hAnsi="Times New Roman"/>
        </w:rPr>
      </w:pPr>
      <w:r>
        <w:fldChar w:fldCharType="begin"/>
      </w:r>
      <w:r>
        <w:instrText xml:space="preserve"> HYPERLINK \l "_Toc22877" </w:instrText>
      </w:r>
      <w:r>
        <w:fldChar w:fldCharType="separate"/>
      </w:r>
      <w:r>
        <w:rPr>
          <w:rFonts w:ascii="Times New Roman" w:hAnsi="Times New Roman"/>
          <w:bCs/>
          <w:szCs w:val="24"/>
          <w:lang w:val="en-US"/>
        </w:rPr>
        <w:t xml:space="preserve">6.1.25 </w:t>
      </w:r>
      <w:r>
        <w:rPr>
          <w:rFonts w:ascii="Times New Roman" w:hAnsi="Times New Roman"/>
          <w:szCs w:val="24"/>
          <w:lang w:val="en-US"/>
        </w:rPr>
        <w:t>First Aid in the Workplace Regulations, 2024, Legal Notice 79 of 2024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_Toc22877 \h </w:instrText>
      </w:r>
      <w:r>
        <w:rPr>
          <w:rFonts w:ascii="Times New Roman" w:hAnsi="Times New Roman"/>
        </w:rPr>
        <w:fldChar w:fldCharType="separate"/>
      </w:r>
      <w:r>
        <w:rPr>
          <w:rFonts w:ascii="Times New Roman" w:hAnsi="Times New Roman"/>
        </w:rPr>
        <w:t>46</w:t>
      </w:r>
      <w:r>
        <w:rPr>
          <w:rFonts w:ascii="Times New Roman" w:hAnsi="Times New Roman"/>
        </w:rPr>
        <w:fldChar w:fldCharType="end"/>
      </w:r>
      <w:r>
        <w:rPr>
          <w:rFonts w:ascii="Times New Roman" w:hAnsi="Times New Roman"/>
        </w:rPr>
        <w:fldChar w:fldCharType="end"/>
      </w:r>
    </w:p>
    <w:p w14:paraId="04CBACBA">
      <w:pPr>
        <w:pStyle w:val="23"/>
        <w:tabs>
          <w:tab w:val="right" w:leader="dot" w:pos="9590"/>
        </w:tabs>
        <w:rPr>
          <w:rFonts w:ascii="Times New Roman" w:hAnsi="Times New Roman"/>
        </w:rPr>
      </w:pPr>
      <w:r>
        <w:fldChar w:fldCharType="begin"/>
      </w:r>
      <w:r>
        <w:instrText xml:space="preserve"> HYPERLINK \l "_Toc596" </w:instrText>
      </w:r>
      <w:r>
        <w:fldChar w:fldCharType="separate"/>
      </w:r>
      <w:r>
        <w:rPr>
          <w:rFonts w:ascii="Times New Roman" w:hAnsi="Times New Roman"/>
          <w:szCs w:val="24"/>
        </w:rPr>
        <w:t>7 ENVIRONMENT AND SOCIAL IMPACTS OF THE PROPOSED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_Toc596 \h </w:instrText>
      </w:r>
      <w:r>
        <w:rPr>
          <w:rFonts w:ascii="Times New Roman" w:hAnsi="Times New Roman"/>
        </w:rPr>
        <w:fldChar w:fldCharType="separate"/>
      </w:r>
      <w:r>
        <w:rPr>
          <w:rFonts w:ascii="Times New Roman" w:hAnsi="Times New Roman"/>
        </w:rPr>
        <w:t>48</w:t>
      </w:r>
      <w:r>
        <w:rPr>
          <w:rFonts w:ascii="Times New Roman" w:hAnsi="Times New Roman"/>
        </w:rPr>
        <w:fldChar w:fldCharType="end"/>
      </w:r>
      <w:r>
        <w:rPr>
          <w:rFonts w:ascii="Times New Roman" w:hAnsi="Times New Roman"/>
        </w:rPr>
        <w:fldChar w:fldCharType="end"/>
      </w:r>
    </w:p>
    <w:p w14:paraId="14AE0F80">
      <w:pPr>
        <w:pStyle w:val="24"/>
        <w:tabs>
          <w:tab w:val="right" w:leader="dot" w:pos="9590"/>
        </w:tabs>
        <w:rPr>
          <w:rFonts w:ascii="Times New Roman" w:hAnsi="Times New Roman"/>
        </w:rPr>
      </w:pPr>
      <w:r>
        <w:fldChar w:fldCharType="begin"/>
      </w:r>
      <w:r>
        <w:instrText xml:space="preserve"> HYPERLINK \l "_Toc24634" </w:instrText>
      </w:r>
      <w:r>
        <w:fldChar w:fldCharType="separate"/>
      </w:r>
      <w:r>
        <w:rPr>
          <w:rFonts w:ascii="Times New Roman" w:hAnsi="Times New Roman"/>
          <w:szCs w:val="24"/>
        </w:rPr>
        <w:t>Impacts Emanating from the Proposed Project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_Toc24634 \h </w:instrText>
      </w:r>
      <w:r>
        <w:rPr>
          <w:rFonts w:ascii="Times New Roman" w:hAnsi="Times New Roman"/>
        </w:rPr>
        <w:fldChar w:fldCharType="separate"/>
      </w:r>
      <w:r>
        <w:rPr>
          <w:rFonts w:ascii="Times New Roman" w:hAnsi="Times New Roman"/>
        </w:rPr>
        <w:t>54</w:t>
      </w:r>
      <w:r>
        <w:rPr>
          <w:rFonts w:ascii="Times New Roman" w:hAnsi="Times New Roman"/>
        </w:rPr>
        <w:fldChar w:fldCharType="end"/>
      </w:r>
      <w:r>
        <w:rPr>
          <w:rFonts w:ascii="Times New Roman" w:hAnsi="Times New Roman"/>
        </w:rPr>
        <w:fldChar w:fldCharType="end"/>
      </w:r>
    </w:p>
    <w:p w14:paraId="74955041">
      <w:pPr>
        <w:pStyle w:val="23"/>
        <w:tabs>
          <w:tab w:val="right" w:leader="dot" w:pos="9590"/>
        </w:tabs>
        <w:rPr>
          <w:rFonts w:ascii="Times New Roman" w:hAnsi="Times New Roman"/>
        </w:rPr>
      </w:pPr>
      <w:r>
        <w:fldChar w:fldCharType="begin"/>
      </w:r>
      <w:r>
        <w:instrText xml:space="preserve"> HYPERLINK \l "_Toc6293" </w:instrText>
      </w:r>
      <w:r>
        <w:fldChar w:fldCharType="separate"/>
      </w:r>
      <w:r>
        <w:rPr>
          <w:rFonts w:ascii="Times New Roman" w:hAnsi="Times New Roman"/>
          <w:szCs w:val="24"/>
        </w:rPr>
        <w:t>8 ENVIRONMENTAL AND SOCIAL MANAGEMENT PLAN (ESMP)</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_Toc6293 \h </w:instrText>
      </w:r>
      <w:r>
        <w:rPr>
          <w:rFonts w:ascii="Times New Roman" w:hAnsi="Times New Roman"/>
        </w:rPr>
        <w:fldChar w:fldCharType="separate"/>
      </w:r>
      <w:r>
        <w:rPr>
          <w:rFonts w:ascii="Times New Roman" w:hAnsi="Times New Roman"/>
        </w:rPr>
        <w:t>69</w:t>
      </w:r>
      <w:r>
        <w:rPr>
          <w:rFonts w:ascii="Times New Roman" w:hAnsi="Times New Roman"/>
        </w:rPr>
        <w:fldChar w:fldCharType="end"/>
      </w:r>
      <w:r>
        <w:rPr>
          <w:rFonts w:ascii="Times New Roman" w:hAnsi="Times New Roman"/>
        </w:rPr>
        <w:fldChar w:fldCharType="end"/>
      </w:r>
    </w:p>
    <w:p w14:paraId="1F34B4A4">
      <w:pPr>
        <w:pStyle w:val="24"/>
        <w:tabs>
          <w:tab w:val="right" w:leader="dot" w:pos="9590"/>
        </w:tabs>
        <w:rPr>
          <w:rFonts w:ascii="Times New Roman" w:hAnsi="Times New Roman"/>
        </w:rPr>
      </w:pPr>
      <w:r>
        <w:fldChar w:fldCharType="begin"/>
      </w:r>
      <w:r>
        <w:instrText xml:space="preserve"> HYPERLINK \l "_Toc9235" </w:instrText>
      </w:r>
      <w:r>
        <w:fldChar w:fldCharType="separate"/>
      </w:r>
      <w:r>
        <w:rPr>
          <w:rFonts w:ascii="Times New Roman" w:hAnsi="Times New Roman"/>
          <w:szCs w:val="24"/>
        </w:rPr>
        <w:t>Significance of ESMP</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_Toc9235 \h </w:instrText>
      </w:r>
      <w:r>
        <w:rPr>
          <w:rFonts w:ascii="Times New Roman" w:hAnsi="Times New Roman"/>
        </w:rPr>
        <w:fldChar w:fldCharType="separate"/>
      </w:r>
      <w:r>
        <w:rPr>
          <w:rFonts w:ascii="Times New Roman" w:hAnsi="Times New Roman"/>
        </w:rPr>
        <w:t>69</w:t>
      </w:r>
      <w:r>
        <w:rPr>
          <w:rFonts w:ascii="Times New Roman" w:hAnsi="Times New Roman"/>
        </w:rPr>
        <w:fldChar w:fldCharType="end"/>
      </w:r>
      <w:r>
        <w:rPr>
          <w:rFonts w:ascii="Times New Roman" w:hAnsi="Times New Roman"/>
        </w:rPr>
        <w:fldChar w:fldCharType="end"/>
      </w:r>
    </w:p>
    <w:p w14:paraId="4402C820">
      <w:pPr>
        <w:pStyle w:val="24"/>
        <w:tabs>
          <w:tab w:val="right" w:leader="dot" w:pos="9590"/>
        </w:tabs>
        <w:rPr>
          <w:rFonts w:ascii="Times New Roman" w:hAnsi="Times New Roman"/>
        </w:rPr>
      </w:pPr>
      <w:r>
        <w:fldChar w:fldCharType="begin"/>
      </w:r>
      <w:r>
        <w:instrText xml:space="preserve"> HYPERLINK \l "_Toc9179" </w:instrText>
      </w:r>
      <w:r>
        <w:fldChar w:fldCharType="separate"/>
      </w:r>
      <w:r>
        <w:rPr>
          <w:rFonts w:ascii="Times New Roman" w:hAnsi="Times New Roman"/>
          <w:szCs w:val="24"/>
        </w:rPr>
        <w:t>Purpose and Objectives of ESMP</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_Toc9179 \h </w:instrText>
      </w:r>
      <w:r>
        <w:rPr>
          <w:rFonts w:ascii="Times New Roman" w:hAnsi="Times New Roman"/>
        </w:rPr>
        <w:fldChar w:fldCharType="separate"/>
      </w:r>
      <w:r>
        <w:rPr>
          <w:rFonts w:ascii="Times New Roman" w:hAnsi="Times New Roman"/>
        </w:rPr>
        <w:t>69</w:t>
      </w:r>
      <w:r>
        <w:rPr>
          <w:rFonts w:ascii="Times New Roman" w:hAnsi="Times New Roman"/>
        </w:rPr>
        <w:fldChar w:fldCharType="end"/>
      </w:r>
      <w:r>
        <w:rPr>
          <w:rFonts w:ascii="Times New Roman" w:hAnsi="Times New Roman"/>
        </w:rPr>
        <w:fldChar w:fldCharType="end"/>
      </w:r>
    </w:p>
    <w:p w14:paraId="39C45794">
      <w:pPr>
        <w:pStyle w:val="24"/>
        <w:tabs>
          <w:tab w:val="right" w:leader="dot" w:pos="9590"/>
        </w:tabs>
        <w:rPr>
          <w:rFonts w:ascii="Times New Roman" w:hAnsi="Times New Roman"/>
        </w:rPr>
      </w:pPr>
      <w:r>
        <w:fldChar w:fldCharType="begin"/>
      </w:r>
      <w:r>
        <w:instrText xml:space="preserve"> HYPERLINK \l "_Toc15853" </w:instrText>
      </w:r>
      <w:r>
        <w:fldChar w:fldCharType="separate"/>
      </w:r>
      <w:r>
        <w:rPr>
          <w:rFonts w:ascii="Times New Roman" w:hAnsi="Times New Roman"/>
          <w:szCs w:val="24"/>
        </w:rPr>
        <w:t>Auditing of ESMP</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_Toc15853 \h </w:instrText>
      </w:r>
      <w:r>
        <w:rPr>
          <w:rFonts w:ascii="Times New Roman" w:hAnsi="Times New Roman"/>
        </w:rPr>
        <w:fldChar w:fldCharType="separate"/>
      </w:r>
      <w:r>
        <w:rPr>
          <w:rFonts w:ascii="Times New Roman" w:hAnsi="Times New Roman"/>
        </w:rPr>
        <w:t>69</w:t>
      </w:r>
      <w:r>
        <w:rPr>
          <w:rFonts w:ascii="Times New Roman" w:hAnsi="Times New Roman"/>
        </w:rPr>
        <w:fldChar w:fldCharType="end"/>
      </w:r>
      <w:r>
        <w:rPr>
          <w:rFonts w:ascii="Times New Roman" w:hAnsi="Times New Roman"/>
        </w:rPr>
        <w:fldChar w:fldCharType="end"/>
      </w:r>
    </w:p>
    <w:p w14:paraId="3C60AE72">
      <w:pPr>
        <w:pStyle w:val="24"/>
        <w:tabs>
          <w:tab w:val="right" w:leader="dot" w:pos="9590"/>
        </w:tabs>
        <w:rPr>
          <w:rFonts w:ascii="Times New Roman" w:hAnsi="Times New Roman"/>
        </w:rPr>
      </w:pPr>
      <w:r>
        <w:fldChar w:fldCharType="begin"/>
      </w:r>
      <w:r>
        <w:instrText xml:space="preserve"> HYPERLINK \l "_Toc25323" </w:instrText>
      </w:r>
      <w:r>
        <w:fldChar w:fldCharType="separate"/>
      </w:r>
      <w:r>
        <w:rPr>
          <w:rFonts w:ascii="Times New Roman" w:hAnsi="Times New Roman"/>
          <w:szCs w:val="24"/>
        </w:rPr>
        <w:t>Project implementation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_Toc25323 \h </w:instrText>
      </w:r>
      <w:r>
        <w:rPr>
          <w:rFonts w:ascii="Times New Roman" w:hAnsi="Times New Roman"/>
        </w:rPr>
        <w:fldChar w:fldCharType="separate"/>
      </w:r>
      <w:r>
        <w:rPr>
          <w:rFonts w:ascii="Times New Roman" w:hAnsi="Times New Roman"/>
        </w:rPr>
        <w:t>69</w:t>
      </w:r>
      <w:r>
        <w:rPr>
          <w:rFonts w:ascii="Times New Roman" w:hAnsi="Times New Roman"/>
        </w:rPr>
        <w:fldChar w:fldCharType="end"/>
      </w:r>
      <w:r>
        <w:rPr>
          <w:rFonts w:ascii="Times New Roman" w:hAnsi="Times New Roman"/>
        </w:rPr>
        <w:fldChar w:fldCharType="end"/>
      </w:r>
    </w:p>
    <w:p w14:paraId="6411118C">
      <w:pPr>
        <w:pStyle w:val="24"/>
        <w:tabs>
          <w:tab w:val="right" w:leader="dot" w:pos="9590"/>
        </w:tabs>
        <w:rPr>
          <w:rFonts w:ascii="Times New Roman" w:hAnsi="Times New Roman"/>
        </w:rPr>
      </w:pPr>
      <w:r>
        <w:fldChar w:fldCharType="begin"/>
      </w:r>
      <w:r>
        <w:instrText xml:space="preserve"> HYPERLINK \l "_Toc7170" </w:instrText>
      </w:r>
      <w:r>
        <w:fldChar w:fldCharType="separate"/>
      </w:r>
      <w:r>
        <w:rPr>
          <w:rFonts w:ascii="Times New Roman" w:hAnsi="Times New Roman"/>
          <w:szCs w:val="24"/>
        </w:rPr>
        <w:t>Environmental and Social Monitoring Plan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_Toc7170 \h </w:instrText>
      </w:r>
      <w:r>
        <w:rPr>
          <w:rFonts w:ascii="Times New Roman" w:hAnsi="Times New Roman"/>
        </w:rPr>
        <w:fldChar w:fldCharType="separate"/>
      </w:r>
      <w:r>
        <w:rPr>
          <w:rFonts w:ascii="Times New Roman" w:hAnsi="Times New Roman"/>
        </w:rPr>
        <w:t>79</w:t>
      </w:r>
      <w:r>
        <w:rPr>
          <w:rFonts w:ascii="Times New Roman" w:hAnsi="Times New Roman"/>
        </w:rPr>
        <w:fldChar w:fldCharType="end"/>
      </w:r>
      <w:r>
        <w:rPr>
          <w:rFonts w:ascii="Times New Roman" w:hAnsi="Times New Roman"/>
        </w:rPr>
        <w:fldChar w:fldCharType="end"/>
      </w:r>
    </w:p>
    <w:p w14:paraId="7DDB024B">
      <w:pPr>
        <w:pStyle w:val="24"/>
        <w:tabs>
          <w:tab w:val="right" w:leader="dot" w:pos="9590"/>
        </w:tabs>
        <w:rPr>
          <w:rFonts w:ascii="Times New Roman" w:hAnsi="Times New Roman"/>
        </w:rPr>
      </w:pPr>
      <w:r>
        <w:fldChar w:fldCharType="begin"/>
      </w:r>
      <w:r>
        <w:instrText xml:space="preserve"> HYPERLINK \l "_Toc13176" </w:instrText>
      </w:r>
      <w:r>
        <w:fldChar w:fldCharType="separate"/>
      </w:r>
      <w:r>
        <w:rPr>
          <w:rFonts w:ascii="Times New Roman" w:hAnsi="Times New Roman"/>
          <w:szCs w:val="24"/>
        </w:rPr>
        <w:t>Grievance Redress Mechanism</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_Toc13176 \h </w:instrText>
      </w:r>
      <w:r>
        <w:rPr>
          <w:rFonts w:ascii="Times New Roman" w:hAnsi="Times New Roman"/>
        </w:rPr>
        <w:fldChar w:fldCharType="separate"/>
      </w:r>
      <w:r>
        <w:rPr>
          <w:rFonts w:ascii="Times New Roman" w:hAnsi="Times New Roman"/>
        </w:rPr>
        <w:t>86</w:t>
      </w:r>
      <w:r>
        <w:rPr>
          <w:rFonts w:ascii="Times New Roman" w:hAnsi="Times New Roman"/>
        </w:rPr>
        <w:fldChar w:fldCharType="end"/>
      </w:r>
      <w:r>
        <w:rPr>
          <w:rFonts w:ascii="Times New Roman" w:hAnsi="Times New Roman"/>
        </w:rPr>
        <w:fldChar w:fldCharType="end"/>
      </w:r>
    </w:p>
    <w:p w14:paraId="55F400AA">
      <w:pPr>
        <w:pStyle w:val="25"/>
        <w:tabs>
          <w:tab w:val="right" w:leader="dot" w:pos="9590"/>
        </w:tabs>
        <w:rPr>
          <w:rFonts w:ascii="Times New Roman" w:hAnsi="Times New Roman"/>
        </w:rPr>
      </w:pPr>
      <w:r>
        <w:fldChar w:fldCharType="begin"/>
      </w:r>
      <w:r>
        <w:instrText xml:space="preserve"> HYPERLINK \l "_Toc13334" </w:instrText>
      </w:r>
      <w:r>
        <w:fldChar w:fldCharType="separate"/>
      </w:r>
      <w:r>
        <w:rPr>
          <w:rFonts w:ascii="Times New Roman" w:hAnsi="Times New Roman" w:eastAsia="MS Gothic"/>
          <w:bCs/>
          <w:szCs w:val="24"/>
        </w:rPr>
        <w:t xml:space="preserve">8.1.1 </w:t>
      </w:r>
      <w:r>
        <w:rPr>
          <w:rFonts w:ascii="Times New Roman" w:hAnsi="Times New Roman" w:eastAsia="MS Gothic"/>
          <w:szCs w:val="24"/>
        </w:rPr>
        <w:t>Possible Sources of Grievances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_Toc13334 \h </w:instrText>
      </w:r>
      <w:r>
        <w:rPr>
          <w:rFonts w:ascii="Times New Roman" w:hAnsi="Times New Roman"/>
        </w:rPr>
        <w:fldChar w:fldCharType="separate"/>
      </w:r>
      <w:r>
        <w:rPr>
          <w:rFonts w:ascii="Times New Roman" w:hAnsi="Times New Roman"/>
        </w:rPr>
        <w:t>86</w:t>
      </w:r>
      <w:r>
        <w:rPr>
          <w:rFonts w:ascii="Times New Roman" w:hAnsi="Times New Roman"/>
        </w:rPr>
        <w:fldChar w:fldCharType="end"/>
      </w:r>
      <w:r>
        <w:rPr>
          <w:rFonts w:ascii="Times New Roman" w:hAnsi="Times New Roman"/>
        </w:rPr>
        <w:fldChar w:fldCharType="end"/>
      </w:r>
    </w:p>
    <w:p w14:paraId="0CCA58B2">
      <w:pPr>
        <w:pStyle w:val="24"/>
        <w:tabs>
          <w:tab w:val="right" w:leader="dot" w:pos="9590"/>
        </w:tabs>
        <w:rPr>
          <w:rFonts w:ascii="Times New Roman" w:hAnsi="Times New Roman"/>
        </w:rPr>
      </w:pPr>
      <w:r>
        <w:fldChar w:fldCharType="begin"/>
      </w:r>
      <w:r>
        <w:instrText xml:space="preserve"> HYPERLINK \l "_Toc28584" </w:instrText>
      </w:r>
      <w:r>
        <w:fldChar w:fldCharType="separate"/>
      </w:r>
      <w:r>
        <w:rPr>
          <w:rFonts w:ascii="Times New Roman" w:hAnsi="Times New Roman"/>
          <w:szCs w:val="24"/>
        </w:rPr>
        <w:t>Institutional Framework for Implementation of the Project and the ESMP</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_Toc28584 \h </w:instrText>
      </w:r>
      <w:r>
        <w:rPr>
          <w:rFonts w:ascii="Times New Roman" w:hAnsi="Times New Roman"/>
        </w:rPr>
        <w:fldChar w:fldCharType="separate"/>
      </w:r>
      <w:r>
        <w:rPr>
          <w:rFonts w:ascii="Times New Roman" w:hAnsi="Times New Roman"/>
        </w:rPr>
        <w:t>89</w:t>
      </w:r>
      <w:r>
        <w:rPr>
          <w:rFonts w:ascii="Times New Roman" w:hAnsi="Times New Roman"/>
        </w:rPr>
        <w:fldChar w:fldCharType="end"/>
      </w:r>
      <w:r>
        <w:rPr>
          <w:rFonts w:ascii="Times New Roman" w:hAnsi="Times New Roman"/>
        </w:rPr>
        <w:fldChar w:fldCharType="end"/>
      </w:r>
    </w:p>
    <w:p w14:paraId="49B95D76">
      <w:pPr>
        <w:pStyle w:val="23"/>
        <w:tabs>
          <w:tab w:val="right" w:leader="dot" w:pos="9590"/>
        </w:tabs>
        <w:rPr>
          <w:rFonts w:ascii="Times New Roman" w:hAnsi="Times New Roman"/>
        </w:rPr>
      </w:pPr>
      <w:r>
        <w:fldChar w:fldCharType="begin"/>
      </w:r>
      <w:r>
        <w:instrText xml:space="preserve"> HYPERLINK \l "_Toc3428" </w:instrText>
      </w:r>
      <w:r>
        <w:fldChar w:fldCharType="separate"/>
      </w:r>
      <w:r>
        <w:rPr>
          <w:rFonts w:ascii="Times New Roman" w:hAnsi="Times New Roman"/>
          <w:szCs w:val="24"/>
        </w:rPr>
        <w:t>9 CONCLUSIONS AND RECOMMENDATIONS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_Toc3428 \h </w:instrText>
      </w:r>
      <w:r>
        <w:rPr>
          <w:rFonts w:ascii="Times New Roman" w:hAnsi="Times New Roman"/>
        </w:rPr>
        <w:fldChar w:fldCharType="separate"/>
      </w:r>
      <w:r>
        <w:rPr>
          <w:rFonts w:ascii="Times New Roman" w:hAnsi="Times New Roman"/>
        </w:rPr>
        <w:t>90</w:t>
      </w:r>
      <w:r>
        <w:rPr>
          <w:rFonts w:ascii="Times New Roman" w:hAnsi="Times New Roman"/>
        </w:rPr>
        <w:fldChar w:fldCharType="end"/>
      </w:r>
      <w:r>
        <w:rPr>
          <w:rFonts w:ascii="Times New Roman" w:hAnsi="Times New Roman"/>
        </w:rPr>
        <w:fldChar w:fldCharType="end"/>
      </w:r>
    </w:p>
    <w:p w14:paraId="67434591">
      <w:pPr>
        <w:pStyle w:val="23"/>
        <w:tabs>
          <w:tab w:val="right" w:leader="dot" w:pos="9590"/>
        </w:tabs>
        <w:rPr>
          <w:rFonts w:ascii="Times New Roman" w:hAnsi="Times New Roman"/>
        </w:rPr>
      </w:pPr>
      <w:r>
        <w:fldChar w:fldCharType="begin"/>
      </w:r>
      <w:r>
        <w:instrText xml:space="preserve"> HYPERLINK \l "_Toc26829" </w:instrText>
      </w:r>
      <w:r>
        <w:fldChar w:fldCharType="separate"/>
      </w:r>
      <w:r>
        <w:rPr>
          <w:rFonts w:ascii="Times New Roman" w:hAnsi="Times New Roman"/>
          <w:szCs w:val="24"/>
        </w:rPr>
        <w:t>10 REFERENCES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_Toc26829 \h </w:instrText>
      </w:r>
      <w:r>
        <w:rPr>
          <w:rFonts w:ascii="Times New Roman" w:hAnsi="Times New Roman"/>
        </w:rPr>
        <w:fldChar w:fldCharType="separate"/>
      </w:r>
      <w:r>
        <w:rPr>
          <w:rFonts w:ascii="Times New Roman" w:hAnsi="Times New Roman"/>
        </w:rPr>
        <w:t>91</w:t>
      </w:r>
      <w:r>
        <w:rPr>
          <w:rFonts w:ascii="Times New Roman" w:hAnsi="Times New Roman"/>
        </w:rPr>
        <w:fldChar w:fldCharType="end"/>
      </w:r>
      <w:r>
        <w:rPr>
          <w:rFonts w:ascii="Times New Roman" w:hAnsi="Times New Roman"/>
        </w:rPr>
        <w:fldChar w:fldCharType="end"/>
      </w:r>
    </w:p>
    <w:p w14:paraId="1AD0B361">
      <w:pPr>
        <w:pStyle w:val="25"/>
        <w:tabs>
          <w:tab w:val="right" w:leader="dot" w:pos="9590"/>
        </w:tabs>
        <w:rPr>
          <w:rFonts w:ascii="Times New Roman" w:hAnsi="Times New Roman"/>
        </w:rPr>
      </w:pPr>
      <w:r>
        <w:fldChar w:fldCharType="begin"/>
      </w:r>
      <w:r>
        <w:instrText xml:space="preserve"> HYPERLINK \l "_Toc1767" </w:instrText>
      </w:r>
      <w:r>
        <w:fldChar w:fldCharType="separate"/>
      </w:r>
      <w:r>
        <w:rPr>
          <w:rFonts w:ascii="Times New Roman" w:hAnsi="Times New Roman"/>
          <w:spacing w:val="-1"/>
          <w:w w:val="105"/>
          <w:szCs w:val="24"/>
          <w:lang w:val="en-US"/>
        </w:rPr>
        <w:t xml:space="preserve">1.1. </w:t>
      </w:r>
      <w:r>
        <w:rPr>
          <w:rFonts w:ascii="Times New Roman" w:hAnsi="Times New Roman"/>
          <w:spacing w:val="-2"/>
          <w:szCs w:val="24"/>
        </w:rPr>
        <w:t>INTRODUCTION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_Toc1767 \h </w:instrText>
      </w:r>
      <w:r>
        <w:rPr>
          <w:rFonts w:ascii="Times New Roman" w:hAnsi="Times New Roman"/>
        </w:rPr>
        <w:fldChar w:fldCharType="separate"/>
      </w:r>
      <w:r>
        <w:rPr>
          <w:rFonts w:ascii="Times New Roman" w:hAnsi="Times New Roman"/>
        </w:rPr>
        <w:t>112</w:t>
      </w:r>
      <w:r>
        <w:rPr>
          <w:rFonts w:ascii="Times New Roman" w:hAnsi="Times New Roman"/>
        </w:rPr>
        <w:fldChar w:fldCharType="end"/>
      </w:r>
      <w:r>
        <w:rPr>
          <w:rFonts w:ascii="Times New Roman" w:hAnsi="Times New Roman"/>
        </w:rPr>
        <w:fldChar w:fldCharType="end"/>
      </w:r>
    </w:p>
    <w:p w14:paraId="537E52B3">
      <w:pPr>
        <w:pStyle w:val="25"/>
        <w:tabs>
          <w:tab w:val="right" w:leader="dot" w:pos="9590"/>
        </w:tabs>
        <w:rPr>
          <w:rFonts w:ascii="Times New Roman" w:hAnsi="Times New Roman"/>
        </w:rPr>
      </w:pPr>
      <w:r>
        <w:fldChar w:fldCharType="begin"/>
      </w:r>
      <w:r>
        <w:instrText xml:space="preserve"> HYPERLINK \l "_Toc28933" </w:instrText>
      </w:r>
      <w:r>
        <w:fldChar w:fldCharType="separate"/>
      </w:r>
      <w:r>
        <w:rPr>
          <w:rFonts w:ascii="Times New Roman" w:hAnsi="Times New Roman"/>
          <w:spacing w:val="-1"/>
          <w:w w:val="105"/>
          <w:szCs w:val="24"/>
          <w:lang w:val="en-US"/>
        </w:rPr>
        <w:t xml:space="preserve">1.2. </w:t>
      </w:r>
      <w:r>
        <w:rPr>
          <w:rFonts w:ascii="Times New Roman" w:hAnsi="Times New Roman"/>
          <w:spacing w:val="-7"/>
          <w:szCs w:val="24"/>
        </w:rPr>
        <w:t>ABLUTION</w:t>
      </w:r>
      <w:r>
        <w:rPr>
          <w:rFonts w:ascii="Times New Roman" w:hAnsi="Times New Roman"/>
          <w:spacing w:val="2"/>
          <w:szCs w:val="24"/>
        </w:rPr>
        <w:t xml:space="preserve"> </w:t>
      </w:r>
      <w:r>
        <w:rPr>
          <w:rFonts w:ascii="Times New Roman" w:hAnsi="Times New Roman"/>
          <w:spacing w:val="-2"/>
          <w:szCs w:val="24"/>
        </w:rPr>
        <w:t>BLOCK DESIGN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_Toc28933 \h </w:instrText>
      </w:r>
      <w:r>
        <w:rPr>
          <w:rFonts w:ascii="Times New Roman" w:hAnsi="Times New Roman"/>
        </w:rPr>
        <w:fldChar w:fldCharType="separate"/>
      </w:r>
      <w:r>
        <w:rPr>
          <w:rFonts w:ascii="Times New Roman" w:hAnsi="Times New Roman"/>
        </w:rPr>
        <w:t>113</w:t>
      </w:r>
      <w:r>
        <w:rPr>
          <w:rFonts w:ascii="Times New Roman" w:hAnsi="Times New Roman"/>
        </w:rPr>
        <w:fldChar w:fldCharType="end"/>
      </w:r>
      <w:r>
        <w:rPr>
          <w:rFonts w:ascii="Times New Roman" w:hAnsi="Times New Roman"/>
        </w:rPr>
        <w:fldChar w:fldCharType="end"/>
      </w:r>
    </w:p>
    <w:p w14:paraId="30377B4A">
      <w:pPr>
        <w:pStyle w:val="25"/>
        <w:tabs>
          <w:tab w:val="right" w:leader="dot" w:pos="9590"/>
        </w:tabs>
        <w:rPr>
          <w:rFonts w:ascii="Times New Roman" w:hAnsi="Times New Roman"/>
        </w:rPr>
      </w:pPr>
      <w:r>
        <w:fldChar w:fldCharType="begin"/>
      </w:r>
      <w:r>
        <w:instrText xml:space="preserve"> HYPERLINK \l "_Toc9494" </w:instrText>
      </w:r>
      <w:r>
        <w:fldChar w:fldCharType="separate"/>
      </w:r>
      <w:r>
        <w:rPr>
          <w:rFonts w:ascii="Times New Roman" w:hAnsi="Times New Roman"/>
          <w:bCs/>
          <w:szCs w:val="24"/>
        </w:rPr>
        <w:t xml:space="preserve">11.1.1 </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_Toc9494 \h </w:instrText>
      </w:r>
      <w:r>
        <w:rPr>
          <w:rFonts w:ascii="Times New Roman" w:hAnsi="Times New Roman"/>
        </w:rPr>
        <w:fldChar w:fldCharType="separate"/>
      </w:r>
      <w:r>
        <w:rPr>
          <w:rFonts w:ascii="Times New Roman" w:hAnsi="Times New Roman"/>
        </w:rPr>
        <w:t>113</w:t>
      </w:r>
      <w:r>
        <w:rPr>
          <w:rFonts w:ascii="Times New Roman" w:hAnsi="Times New Roman"/>
        </w:rPr>
        <w:fldChar w:fldCharType="end"/>
      </w:r>
      <w:r>
        <w:rPr>
          <w:rFonts w:ascii="Times New Roman" w:hAnsi="Times New Roman"/>
        </w:rPr>
        <w:fldChar w:fldCharType="end"/>
      </w:r>
    </w:p>
    <w:p w14:paraId="5B818CB0">
      <w:pPr>
        <w:pStyle w:val="25"/>
        <w:tabs>
          <w:tab w:val="right" w:leader="dot" w:pos="9590"/>
        </w:tabs>
        <w:rPr>
          <w:rFonts w:ascii="Times New Roman" w:hAnsi="Times New Roman"/>
        </w:rPr>
      </w:pPr>
      <w:r>
        <w:fldChar w:fldCharType="begin"/>
      </w:r>
      <w:r>
        <w:instrText xml:space="preserve"> HYPERLINK \l "_Toc12946" </w:instrText>
      </w:r>
      <w:r>
        <w:fldChar w:fldCharType="separate"/>
      </w:r>
      <w:r>
        <w:rPr>
          <w:rFonts w:ascii="Times New Roman" w:hAnsi="Times New Roman"/>
          <w:szCs w:val="24"/>
          <w:lang w:val="en-US"/>
        </w:rPr>
        <w:t xml:space="preserve">1.2.1. </w:t>
      </w:r>
      <w:r>
        <w:rPr>
          <w:rFonts w:ascii="Times New Roman" w:hAnsi="Times New Roman"/>
          <w:szCs w:val="24"/>
        </w:rPr>
        <w:t>Proposed Layout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_Toc12946 \h </w:instrText>
      </w:r>
      <w:r>
        <w:rPr>
          <w:rFonts w:ascii="Times New Roman" w:hAnsi="Times New Roman"/>
        </w:rPr>
        <w:fldChar w:fldCharType="separate"/>
      </w:r>
      <w:r>
        <w:rPr>
          <w:rFonts w:ascii="Times New Roman" w:hAnsi="Times New Roman"/>
        </w:rPr>
        <w:t>113</w:t>
      </w:r>
      <w:r>
        <w:rPr>
          <w:rFonts w:ascii="Times New Roman" w:hAnsi="Times New Roman"/>
        </w:rPr>
        <w:fldChar w:fldCharType="end"/>
      </w:r>
      <w:r>
        <w:rPr>
          <w:rFonts w:ascii="Times New Roman" w:hAnsi="Times New Roman"/>
        </w:rPr>
        <w:fldChar w:fldCharType="end"/>
      </w:r>
    </w:p>
    <w:p w14:paraId="13FF2EBB">
      <w:pPr>
        <w:pStyle w:val="25"/>
        <w:tabs>
          <w:tab w:val="right" w:leader="dot" w:pos="9590"/>
        </w:tabs>
        <w:rPr>
          <w:rFonts w:ascii="Times New Roman" w:hAnsi="Times New Roman"/>
        </w:rPr>
      </w:pPr>
      <w:r>
        <w:fldChar w:fldCharType="begin"/>
      </w:r>
      <w:r>
        <w:instrText xml:space="preserve"> HYPERLINK \l "_Toc19014" </w:instrText>
      </w:r>
      <w:r>
        <w:fldChar w:fldCharType="separate"/>
      </w:r>
      <w:r>
        <w:rPr>
          <w:rFonts w:ascii="Times New Roman" w:hAnsi="Times New Roman"/>
          <w:bCs/>
          <w:szCs w:val="24"/>
        </w:rPr>
        <w:t xml:space="preserve">11.1.2 </w:t>
      </w:r>
      <w:r>
        <w:rPr>
          <w:rFonts w:ascii="Times New Roman" w:hAnsi="Times New Roman"/>
          <w:szCs w:val="24"/>
        </w:rPr>
        <w:t>List of Appendices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_Toc19014 \h </w:instrText>
      </w:r>
      <w:r>
        <w:rPr>
          <w:rFonts w:ascii="Times New Roman" w:hAnsi="Times New Roman"/>
        </w:rPr>
        <w:fldChar w:fldCharType="separate"/>
      </w:r>
      <w:r>
        <w:rPr>
          <w:rFonts w:ascii="Times New Roman" w:hAnsi="Times New Roman"/>
        </w:rPr>
        <w:t>115</w:t>
      </w:r>
      <w:r>
        <w:rPr>
          <w:rFonts w:ascii="Times New Roman" w:hAnsi="Times New Roman"/>
        </w:rPr>
        <w:fldChar w:fldCharType="end"/>
      </w:r>
      <w:r>
        <w:rPr>
          <w:rFonts w:ascii="Times New Roman" w:hAnsi="Times New Roman"/>
        </w:rPr>
        <w:fldChar w:fldCharType="end"/>
      </w:r>
    </w:p>
    <w:p w14:paraId="3FB079E6">
      <w:pPr>
        <w:pStyle w:val="32"/>
        <w:tabs>
          <w:tab w:val="left" w:pos="835"/>
        </w:tabs>
        <w:spacing w:before="201" w:line="240" w:lineRule="auto"/>
        <w:ind w:left="440"/>
        <w:rPr>
          <w:rFonts w:ascii="Times New Roman" w:hAnsi="Times New Roman"/>
          <w:b/>
          <w:szCs w:val="24"/>
        </w:rPr>
      </w:pPr>
      <w:r>
        <w:rPr>
          <w:rFonts w:ascii="Times New Roman" w:hAnsi="Times New Roman"/>
          <w:bCs/>
          <w:szCs w:val="24"/>
        </w:rPr>
        <w:fldChar w:fldCharType="end"/>
      </w:r>
      <w:r>
        <w:rPr>
          <w:rFonts w:ascii="Times New Roman" w:hAnsi="Times New Roman"/>
          <w:b/>
          <w:spacing w:val="-2"/>
          <w:szCs w:val="24"/>
        </w:rPr>
        <w:t>DESIGN REPORT FOR KIMAWASCO ABLUTION BLOCK</w:t>
      </w:r>
    </w:p>
    <w:p w14:paraId="70414EB5">
      <w:pPr>
        <w:pStyle w:val="4"/>
        <w:numPr>
          <w:ilvl w:val="1"/>
          <w:numId w:val="107"/>
        </w:numPr>
        <w:tabs>
          <w:tab w:val="left" w:pos="833"/>
        </w:tabs>
        <w:spacing w:line="240" w:lineRule="auto"/>
        <w:ind w:left="833"/>
        <w:rPr>
          <w:rFonts w:ascii="Times New Roman" w:hAnsi="Times New Roman"/>
        </w:rPr>
      </w:pPr>
      <w:bookmarkStart w:id="722" w:name="_Toc12104"/>
      <w:bookmarkStart w:id="723" w:name="_Toc1767"/>
      <w:bookmarkStart w:id="724" w:name="_Toc220710874"/>
      <w:r>
        <w:rPr>
          <w:rFonts w:ascii="Times New Roman" w:hAnsi="Times New Roman"/>
          <w:spacing w:val="-2"/>
        </w:rPr>
        <w:t>INTRODUCTION</w:t>
      </w:r>
      <w:bookmarkEnd w:id="722"/>
      <w:bookmarkEnd w:id="723"/>
      <w:bookmarkEnd w:id="724"/>
    </w:p>
    <w:p w14:paraId="14757403">
      <w:pPr>
        <w:pStyle w:val="8"/>
        <w:spacing w:before="182" w:line="240" w:lineRule="auto"/>
        <w:ind w:left="826" w:right="154" w:firstLine="3"/>
        <w:rPr>
          <w:rFonts w:ascii="Times New Roman" w:hAnsi="Times New Roman" w:cs="Times New Roman"/>
          <w:color w:val="auto"/>
          <w:sz w:val="24"/>
          <w:szCs w:val="24"/>
        </w:rPr>
      </w:pPr>
      <w:r>
        <w:rPr>
          <w:rFonts w:ascii="Times New Roman" w:hAnsi="Times New Roman" w:cs="Times New Roman"/>
          <w:color w:val="auto"/>
          <w:sz w:val="24"/>
          <w:szCs w:val="24"/>
        </w:rPr>
        <w:t>Most Coastal Towns except Mombasa Island and West Mainland lack operational and adequate Sewerage Systems and</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Sewage Treatment Plant(s). Consequently, majority of</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residents rely on on-plot sanitation means such as pit</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latrines and septic tanks. Currently, a major setback of</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the use of these on-plot sanitation systems is lack of proper sludge handling facilities which would ensure adequate further treatment and disposal of</w:t>
      </w:r>
      <w:r>
        <w:rPr>
          <w:rFonts w:ascii="Times New Roman" w:hAnsi="Times New Roman" w:cs="Times New Roman"/>
          <w:color w:val="auto"/>
          <w:spacing w:val="-6"/>
          <w:sz w:val="24"/>
          <w:szCs w:val="24"/>
        </w:rPr>
        <w:t xml:space="preserve"> </w:t>
      </w:r>
      <w:r>
        <w:rPr>
          <w:rFonts w:ascii="Times New Roman" w:hAnsi="Times New Roman" w:cs="Times New Roman"/>
          <w:color w:val="auto"/>
          <w:sz w:val="24"/>
          <w:szCs w:val="24"/>
        </w:rPr>
        <w:t>sludge once these systems are emptied.</w:t>
      </w:r>
      <w:r>
        <w:rPr>
          <w:rFonts w:ascii="Times New Roman" w:hAnsi="Times New Roman" w:cs="Times New Roman"/>
          <w:color w:val="auto"/>
          <w:spacing w:val="-5"/>
          <w:sz w:val="24"/>
          <w:szCs w:val="24"/>
        </w:rPr>
        <w:t xml:space="preserve"> </w:t>
      </w:r>
      <w:r>
        <w:rPr>
          <w:rFonts w:ascii="Times New Roman" w:hAnsi="Times New Roman" w:cs="Times New Roman"/>
          <w:color w:val="auto"/>
          <w:sz w:val="24"/>
          <w:szCs w:val="24"/>
        </w:rPr>
        <w:t>This unregulated and haphazard disposal of</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untreated sewage sludge has resulted to pollution of</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the environment and prevalence of water-borne diseases.</w:t>
      </w:r>
    </w:p>
    <w:p w14:paraId="78F04D1C">
      <w:pPr>
        <w:pStyle w:val="8"/>
        <w:spacing w:before="198" w:line="240" w:lineRule="auto"/>
        <w:ind w:left="823" w:right="165" w:firstLine="3"/>
        <w:rPr>
          <w:rFonts w:ascii="Times New Roman" w:hAnsi="Times New Roman" w:cs="Times New Roman"/>
          <w:color w:val="auto"/>
          <w:sz w:val="24"/>
          <w:szCs w:val="24"/>
        </w:rPr>
      </w:pPr>
      <w:r>
        <w:rPr>
          <w:rFonts w:ascii="Times New Roman" w:hAnsi="Times New Roman" w:cs="Times New Roman"/>
          <w:color w:val="auto"/>
          <w:sz w:val="24"/>
          <w:szCs w:val="24"/>
        </w:rPr>
        <w:t>As part</w:t>
      </w:r>
      <w:r>
        <w:rPr>
          <w:rFonts w:ascii="Times New Roman" w:hAnsi="Times New Roman" w:cs="Times New Roman"/>
          <w:color w:val="auto"/>
          <w:spacing w:val="33"/>
          <w:sz w:val="24"/>
          <w:szCs w:val="24"/>
        </w:rPr>
        <w:t xml:space="preserve"> </w:t>
      </w:r>
      <w:r>
        <w:rPr>
          <w:rFonts w:ascii="Times New Roman" w:hAnsi="Times New Roman" w:cs="Times New Roman"/>
          <w:color w:val="auto"/>
          <w:sz w:val="24"/>
          <w:szCs w:val="24"/>
        </w:rPr>
        <w:t>of the</w:t>
      </w:r>
      <w:r>
        <w:rPr>
          <w:rFonts w:ascii="Times New Roman" w:hAnsi="Times New Roman" w:cs="Times New Roman"/>
          <w:color w:val="auto"/>
          <w:spacing w:val="33"/>
          <w:sz w:val="24"/>
          <w:szCs w:val="24"/>
        </w:rPr>
        <w:t xml:space="preserve"> </w:t>
      </w:r>
      <w:r>
        <w:rPr>
          <w:rFonts w:ascii="Times New Roman" w:hAnsi="Times New Roman" w:cs="Times New Roman"/>
          <w:color w:val="auto"/>
          <w:sz w:val="24"/>
          <w:szCs w:val="24"/>
        </w:rPr>
        <w:t>recommendations of the</w:t>
      </w:r>
      <w:r>
        <w:rPr>
          <w:rFonts w:ascii="Times New Roman" w:hAnsi="Times New Roman" w:cs="Times New Roman"/>
          <w:color w:val="auto"/>
          <w:spacing w:val="34"/>
          <w:sz w:val="24"/>
          <w:szCs w:val="24"/>
        </w:rPr>
        <w:t xml:space="preserve"> </w:t>
      </w:r>
      <w:r>
        <w:rPr>
          <w:rFonts w:ascii="Times New Roman" w:hAnsi="Times New Roman" w:cs="Times New Roman"/>
          <w:color w:val="auto"/>
          <w:sz w:val="24"/>
          <w:szCs w:val="24"/>
        </w:rPr>
        <w:t>Master</w:t>
      </w:r>
      <w:r>
        <w:rPr>
          <w:rFonts w:ascii="Times New Roman" w:hAnsi="Times New Roman" w:cs="Times New Roman"/>
          <w:color w:val="auto"/>
          <w:spacing w:val="37"/>
          <w:sz w:val="24"/>
          <w:szCs w:val="24"/>
        </w:rPr>
        <w:t xml:space="preserve"> </w:t>
      </w:r>
      <w:r>
        <w:rPr>
          <w:rFonts w:ascii="Times New Roman" w:hAnsi="Times New Roman" w:cs="Times New Roman"/>
          <w:color w:val="auto"/>
          <w:sz w:val="24"/>
          <w:szCs w:val="24"/>
        </w:rPr>
        <w:t>Plan, each</w:t>
      </w:r>
      <w:r>
        <w:rPr>
          <w:rFonts w:ascii="Times New Roman" w:hAnsi="Times New Roman" w:cs="Times New Roman"/>
          <w:color w:val="auto"/>
          <w:spacing w:val="33"/>
          <w:sz w:val="24"/>
          <w:szCs w:val="24"/>
        </w:rPr>
        <w:t xml:space="preserve"> </w:t>
      </w:r>
      <w:r>
        <w:rPr>
          <w:rFonts w:ascii="Times New Roman" w:hAnsi="Times New Roman" w:cs="Times New Roman"/>
          <w:color w:val="auto"/>
          <w:sz w:val="24"/>
          <w:szCs w:val="24"/>
        </w:rPr>
        <w:t>of the project Towns is planned to have a Sewerage System and Sewage Treatment Plant(s) for improved sanitation. However, as an immediate intervention, Ablution Blocks and Sludge Handling Facilities are to be developed for the Project Towns, which currently lack adequate sanitation systems. It was upon this background that the development of an ablution block was proposed to be built in KIMAWASCO’S office to serve the customers, employees and general public accessing KIMAWASCO grounds for services.</w:t>
      </w:r>
    </w:p>
    <w:p w14:paraId="35CB29F4">
      <w:pPr>
        <w:pStyle w:val="4"/>
        <w:numPr>
          <w:ilvl w:val="1"/>
          <w:numId w:val="107"/>
        </w:numPr>
        <w:tabs>
          <w:tab w:val="left" w:pos="826"/>
        </w:tabs>
        <w:spacing w:line="240" w:lineRule="auto"/>
        <w:ind w:left="1003" w:hanging="715"/>
        <w:rPr>
          <w:rFonts w:ascii="Times New Roman" w:hAnsi="Times New Roman"/>
        </w:rPr>
      </w:pPr>
      <w:bookmarkStart w:id="725" w:name="_Toc28933"/>
      <w:bookmarkStart w:id="726" w:name="_Toc7143"/>
      <w:bookmarkStart w:id="727" w:name="_Toc220710875"/>
      <w:r>
        <w:rPr>
          <w:rFonts w:ascii="Times New Roman" w:hAnsi="Times New Roman"/>
          <w:spacing w:val="-7"/>
        </w:rPr>
        <w:t>ABLUTION</w:t>
      </w:r>
      <w:r>
        <w:rPr>
          <w:rFonts w:ascii="Times New Roman" w:hAnsi="Times New Roman"/>
          <w:spacing w:val="2"/>
        </w:rPr>
        <w:t xml:space="preserve"> </w:t>
      </w:r>
      <w:r>
        <w:rPr>
          <w:rFonts w:ascii="Times New Roman" w:hAnsi="Times New Roman"/>
          <w:spacing w:val="-2"/>
        </w:rPr>
        <w:t>BLOCK DESIGN</w:t>
      </w:r>
      <w:bookmarkEnd w:id="725"/>
      <w:bookmarkEnd w:id="726"/>
      <w:bookmarkEnd w:id="727"/>
    </w:p>
    <w:p w14:paraId="4E153601">
      <w:pPr>
        <w:pStyle w:val="4"/>
        <w:numPr>
          <w:ilvl w:val="1"/>
          <w:numId w:val="100"/>
        </w:numPr>
        <w:ind w:left="720"/>
        <w:rPr>
          <w:rFonts w:ascii="Times New Roman" w:hAnsi="Times New Roman"/>
        </w:rPr>
      </w:pPr>
      <w:bookmarkStart w:id="728" w:name="_Toc220710876"/>
      <w:bookmarkEnd w:id="728"/>
      <w:bookmarkStart w:id="729" w:name="_Toc9494"/>
      <w:bookmarkEnd w:id="729"/>
      <w:bookmarkStart w:id="730" w:name="_Toc19880"/>
      <w:bookmarkEnd w:id="730"/>
    </w:p>
    <w:p w14:paraId="1EC59F54">
      <w:pPr>
        <w:pStyle w:val="4"/>
        <w:numPr>
          <w:ilvl w:val="1"/>
          <w:numId w:val="107"/>
        </w:numPr>
        <w:tabs>
          <w:tab w:val="left" w:pos="826"/>
        </w:tabs>
        <w:spacing w:line="240" w:lineRule="auto"/>
        <w:ind w:left="576"/>
        <w:rPr>
          <w:rFonts w:ascii="Times New Roman" w:hAnsi="Times New Roman"/>
        </w:rPr>
      </w:pPr>
      <w:bookmarkStart w:id="731" w:name="_Toc12946"/>
      <w:bookmarkStart w:id="732" w:name="_Toc220710877"/>
      <w:bookmarkStart w:id="733" w:name="_Toc22811"/>
      <w:r>
        <w:rPr>
          <w:rFonts w:ascii="Times New Roman" w:hAnsi="Times New Roman"/>
        </w:rPr>
        <w:t>Proposed Layout</w:t>
      </w:r>
      <w:bookmarkEnd w:id="731"/>
      <w:bookmarkEnd w:id="732"/>
      <w:bookmarkEnd w:id="733"/>
    </w:p>
    <w:p w14:paraId="1E7E20A0">
      <w:pPr>
        <w:pStyle w:val="8"/>
        <w:spacing w:before="189" w:line="240" w:lineRule="auto"/>
        <w:ind w:left="818" w:right="168" w:firstLine="4"/>
        <w:rPr>
          <w:rFonts w:ascii="Times New Roman" w:hAnsi="Times New Roman" w:cs="Times New Roman"/>
          <w:color w:val="auto"/>
          <w:sz w:val="24"/>
          <w:szCs w:val="24"/>
        </w:rPr>
      </w:pPr>
      <w:r>
        <w:rPr>
          <w:rFonts w:ascii="Times New Roman" w:hAnsi="Times New Roman" w:cs="Times New Roman"/>
          <w:color w:val="auto"/>
          <w:sz w:val="24"/>
          <w:szCs w:val="24"/>
        </w:rPr>
        <w:t>The design of the proposed ablution block inside the Kimawasco Office is set to comprise of:</w:t>
      </w:r>
    </w:p>
    <w:p w14:paraId="67B65C0F">
      <w:pPr>
        <w:pStyle w:val="32"/>
        <w:numPr>
          <w:ilvl w:val="0"/>
          <w:numId w:val="2"/>
        </w:numPr>
        <w:spacing w:line="240" w:lineRule="auto"/>
        <w:jc w:val="both"/>
        <w:rPr>
          <w:rFonts w:ascii="Times New Roman" w:hAnsi="Times New Roman"/>
          <w:szCs w:val="24"/>
        </w:rPr>
      </w:pPr>
      <w:r>
        <w:rPr>
          <w:rFonts w:ascii="Times New Roman" w:hAnsi="Times New Roman"/>
          <w:szCs w:val="24"/>
        </w:rPr>
        <w:t>8 Nr. Toilets; 4 Nr Male and 4 Nr. Female</w:t>
      </w:r>
    </w:p>
    <w:p w14:paraId="59F6A5A8">
      <w:pPr>
        <w:pStyle w:val="32"/>
        <w:numPr>
          <w:ilvl w:val="0"/>
          <w:numId w:val="2"/>
        </w:numPr>
        <w:spacing w:line="240" w:lineRule="auto"/>
        <w:jc w:val="both"/>
        <w:rPr>
          <w:rFonts w:ascii="Times New Roman" w:hAnsi="Times New Roman"/>
          <w:szCs w:val="24"/>
        </w:rPr>
      </w:pPr>
      <w:r>
        <w:rPr>
          <w:rFonts w:ascii="Times New Roman" w:hAnsi="Times New Roman"/>
          <w:szCs w:val="24"/>
        </w:rPr>
        <w:t>4 Nr. Shower Rooms; 2 for each Gender.</w:t>
      </w:r>
    </w:p>
    <w:p w14:paraId="663E01AF">
      <w:pPr>
        <w:pStyle w:val="32"/>
        <w:numPr>
          <w:ilvl w:val="0"/>
          <w:numId w:val="2"/>
        </w:numPr>
        <w:spacing w:line="240" w:lineRule="auto"/>
        <w:jc w:val="both"/>
        <w:rPr>
          <w:rFonts w:ascii="Times New Roman" w:hAnsi="Times New Roman"/>
          <w:szCs w:val="24"/>
        </w:rPr>
      </w:pPr>
      <w:r>
        <w:rPr>
          <w:rFonts w:ascii="Times New Roman" w:hAnsi="Times New Roman"/>
          <w:szCs w:val="24"/>
        </w:rPr>
        <w:t>1 Nr. Storeroom</w:t>
      </w:r>
    </w:p>
    <w:p w14:paraId="73D386BD">
      <w:pPr>
        <w:pStyle w:val="8"/>
        <w:spacing w:before="193" w:line="240" w:lineRule="auto"/>
        <w:ind w:left="816" w:right="167" w:hanging="6"/>
        <w:rPr>
          <w:rFonts w:ascii="Times New Roman" w:hAnsi="Times New Roman" w:cs="Times New Roman"/>
          <w:color w:val="auto"/>
          <w:sz w:val="24"/>
          <w:szCs w:val="24"/>
        </w:rPr>
      </w:pPr>
      <w:r>
        <w:rPr>
          <w:rFonts w:ascii="Times New Roman" w:hAnsi="Times New Roman" w:cs="Times New Roman"/>
          <w:color w:val="auto"/>
          <w:sz w:val="24"/>
          <w:szCs w:val="24"/>
        </w:rPr>
        <w:t>Separate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urinals will be provided within the "gents" to increase the number of people that can use the facility especially during the peak hours.</w:t>
      </w:r>
    </w:p>
    <w:p w14:paraId="14E4FDA5">
      <w:pPr>
        <w:pStyle w:val="8"/>
        <w:spacing w:before="193" w:line="240" w:lineRule="auto"/>
        <w:ind w:left="817" w:right="168" w:firstLine="2"/>
        <w:rPr>
          <w:rFonts w:ascii="Times New Roman" w:hAnsi="Times New Roman" w:cs="Times New Roman"/>
          <w:color w:val="auto"/>
          <w:sz w:val="24"/>
          <w:szCs w:val="24"/>
        </w:rPr>
      </w:pPr>
      <w:r>
        <w:rPr>
          <w:rFonts w:ascii="Times New Roman" w:hAnsi="Times New Roman" w:cs="Times New Roman"/>
          <w:color w:val="auto"/>
          <w:sz w:val="24"/>
          <w:szCs w:val="24"/>
        </w:rPr>
        <w:t>A septic tank with a holding capacity of</w:t>
      </w:r>
      <w:r>
        <w:rPr>
          <w:rFonts w:ascii="Times New Roman" w:hAnsi="Times New Roman" w:cs="Times New Roman"/>
          <w:color w:val="auto"/>
          <w:spacing w:val="-6"/>
          <w:sz w:val="24"/>
          <w:szCs w:val="24"/>
        </w:rPr>
        <w:t xml:space="preserve"> </w:t>
      </w:r>
      <w:r>
        <w:rPr>
          <w:rFonts w:ascii="Times New Roman" w:hAnsi="Times New Roman" w:cs="Times New Roman"/>
          <w:color w:val="auto"/>
          <w:sz w:val="24"/>
          <w:szCs w:val="24"/>
        </w:rPr>
        <w:t xml:space="preserve">15.9 m3 will be connected to the facility for holding and partial treatment of sewage. This size of septic tank will require desludging after an interval of 3 </w:t>
      </w:r>
      <w:r>
        <w:rPr>
          <w:rFonts w:ascii="Times New Roman" w:hAnsi="Times New Roman" w:cs="Times New Roman"/>
          <w:color w:val="auto"/>
          <w:spacing w:val="-2"/>
          <w:sz w:val="24"/>
          <w:szCs w:val="24"/>
        </w:rPr>
        <w:t>months.</w:t>
      </w:r>
    </w:p>
    <w:p w14:paraId="2FE35585">
      <w:pPr>
        <w:pStyle w:val="8"/>
        <w:spacing w:before="195" w:line="240" w:lineRule="auto"/>
        <w:ind w:left="817" w:right="174" w:hanging="3"/>
        <w:rPr>
          <w:rFonts w:ascii="Times New Roman" w:hAnsi="Times New Roman" w:cs="Times New Roman"/>
          <w:color w:val="auto"/>
          <w:sz w:val="24"/>
          <w:szCs w:val="24"/>
        </w:rPr>
      </w:pPr>
      <w:r>
        <w:rPr>
          <w:rFonts w:ascii="Times New Roman" w:hAnsi="Times New Roman" w:cs="Times New Roman"/>
          <w:color w:val="auto"/>
          <w:sz w:val="24"/>
          <w:szCs w:val="24"/>
        </w:rPr>
        <w:t>Every</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facility</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will</w:t>
      </w:r>
      <w:r>
        <w:rPr>
          <w:rFonts w:ascii="Times New Roman" w:hAnsi="Times New Roman" w:cs="Times New Roman"/>
          <w:color w:val="auto"/>
          <w:spacing w:val="32"/>
          <w:sz w:val="24"/>
          <w:szCs w:val="24"/>
        </w:rPr>
        <w:t xml:space="preserve"> </w:t>
      </w:r>
      <w:r>
        <w:rPr>
          <w:rFonts w:ascii="Times New Roman" w:hAnsi="Times New Roman" w:cs="Times New Roman"/>
          <w:color w:val="auto"/>
          <w:sz w:val="24"/>
          <w:szCs w:val="24"/>
        </w:rPr>
        <w:t>comprise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of</w:t>
      </w:r>
      <w:r>
        <w:rPr>
          <w:rFonts w:ascii="Times New Roman" w:hAnsi="Times New Roman" w:cs="Times New Roman"/>
          <w:color w:val="auto"/>
          <w:spacing w:val="33"/>
          <w:sz w:val="24"/>
          <w:szCs w:val="24"/>
        </w:rPr>
        <w:t xml:space="preserve"> </w:t>
      </w:r>
      <w:r>
        <w:rPr>
          <w:rFonts w:ascii="Times New Roman" w:hAnsi="Times New Roman" w:cs="Times New Roman"/>
          <w:color w:val="auto"/>
          <w:sz w:val="24"/>
          <w:szCs w:val="24"/>
        </w:rPr>
        <w:t>separate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washroom</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sections</w:t>
      </w:r>
      <w:r>
        <w:rPr>
          <w:rFonts w:ascii="Times New Roman" w:hAnsi="Times New Roman" w:cs="Times New Roman"/>
          <w:color w:val="auto"/>
          <w:spacing w:val="34"/>
          <w:sz w:val="24"/>
          <w:szCs w:val="24"/>
        </w:rPr>
        <w:t xml:space="preserve"> </w:t>
      </w:r>
      <w:r>
        <w:rPr>
          <w:rFonts w:ascii="Times New Roman" w:hAnsi="Times New Roman" w:cs="Times New Roman"/>
          <w:color w:val="auto"/>
          <w:sz w:val="24"/>
          <w:szCs w:val="24"/>
        </w:rPr>
        <w:t>for</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ladies</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and</w:t>
      </w:r>
      <w:r>
        <w:rPr>
          <w:rFonts w:ascii="Times New Roman" w:hAnsi="Times New Roman" w:cs="Times New Roman"/>
          <w:color w:val="auto"/>
          <w:spacing w:val="34"/>
          <w:sz w:val="24"/>
          <w:szCs w:val="24"/>
        </w:rPr>
        <w:t xml:space="preserve"> </w:t>
      </w:r>
      <w:r>
        <w:rPr>
          <w:rFonts w:ascii="Times New Roman" w:hAnsi="Times New Roman" w:cs="Times New Roman"/>
          <w:color w:val="auto"/>
          <w:sz w:val="24"/>
          <w:szCs w:val="24"/>
        </w:rPr>
        <w:t>gentlemen</w:t>
      </w:r>
      <w:r>
        <w:rPr>
          <w:rFonts w:ascii="Times New Roman" w:hAnsi="Times New Roman" w:cs="Times New Roman"/>
          <w:color w:val="auto"/>
          <w:spacing w:val="39"/>
          <w:sz w:val="24"/>
          <w:szCs w:val="24"/>
        </w:rPr>
        <w:t xml:space="preserve"> </w:t>
      </w:r>
      <w:r>
        <w:rPr>
          <w:rFonts w:ascii="Times New Roman" w:hAnsi="Times New Roman" w:cs="Times New Roman"/>
          <w:color w:val="auto"/>
          <w:sz w:val="24"/>
          <w:szCs w:val="24"/>
        </w:rPr>
        <w:t>(gents) with equal number of toilets. Each section (for ladies and gents) will be provided with one toilet fitted with special amenities for access and use by disabled persons. Two shower rooms equipped with a dressing area, hand-wash basins, mirrors as well as a 900 mm high worktop will also be provided in</w:t>
      </w:r>
      <w:r>
        <w:rPr>
          <w:rFonts w:ascii="Times New Roman" w:hAnsi="Times New Roman" w:cs="Times New Roman"/>
          <w:color w:val="auto"/>
          <w:spacing w:val="-4"/>
          <w:sz w:val="24"/>
          <w:szCs w:val="24"/>
        </w:rPr>
        <w:t xml:space="preserve"> </w:t>
      </w:r>
      <w:r>
        <w:rPr>
          <w:rFonts w:ascii="Times New Roman" w:hAnsi="Times New Roman" w:cs="Times New Roman"/>
          <w:color w:val="auto"/>
          <w:sz w:val="24"/>
          <w:szCs w:val="24"/>
        </w:rPr>
        <w:t xml:space="preserve">each section. </w:t>
      </w:r>
    </w:p>
    <w:p w14:paraId="3F549A18">
      <w:pPr>
        <w:pStyle w:val="8"/>
        <w:spacing w:before="196" w:line="240" w:lineRule="auto"/>
        <w:ind w:left="817" w:right="169" w:hanging="3"/>
        <w:rPr>
          <w:rFonts w:ascii="Times New Roman" w:hAnsi="Times New Roman" w:cs="Times New Roman"/>
          <w:color w:val="auto"/>
          <w:sz w:val="24"/>
          <w:szCs w:val="24"/>
        </w:rPr>
      </w:pPr>
      <w:r>
        <w:rPr>
          <w:rFonts w:ascii="Times New Roman" w:hAnsi="Times New Roman" w:cs="Times New Roman"/>
          <w:color w:val="auto"/>
          <w:sz w:val="24"/>
          <w:szCs w:val="24"/>
        </w:rPr>
        <w:t>Each of the units shall be fitted with coat hangers behind the doors for the convenience of the users.</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Proper ventilation shall be enhanced by the louvered windows and gap between</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the</w:t>
      </w:r>
      <w:r>
        <w:rPr>
          <w:rFonts w:ascii="Times New Roman" w:hAnsi="Times New Roman" w:cs="Times New Roman"/>
          <w:color w:val="auto"/>
          <w:spacing w:val="39"/>
          <w:sz w:val="24"/>
          <w:szCs w:val="24"/>
        </w:rPr>
        <w:t xml:space="preserve"> </w:t>
      </w:r>
      <w:r>
        <w:rPr>
          <w:rFonts w:ascii="Times New Roman" w:hAnsi="Times New Roman" w:cs="Times New Roman"/>
          <w:color w:val="auto"/>
          <w:sz w:val="24"/>
          <w:szCs w:val="24"/>
        </w:rPr>
        <w:t>ring</w:t>
      </w:r>
      <w:r>
        <w:rPr>
          <w:rFonts w:ascii="Times New Roman" w:hAnsi="Times New Roman" w:cs="Times New Roman"/>
          <w:color w:val="auto"/>
          <w:spacing w:val="31"/>
          <w:sz w:val="24"/>
          <w:szCs w:val="24"/>
        </w:rPr>
        <w:t xml:space="preserve"> </w:t>
      </w:r>
      <w:r>
        <w:rPr>
          <w:rFonts w:ascii="Times New Roman" w:hAnsi="Times New Roman" w:cs="Times New Roman"/>
          <w:color w:val="auto"/>
          <w:sz w:val="24"/>
          <w:szCs w:val="24"/>
        </w:rPr>
        <w:t>beam</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and</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the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roof</w:t>
      </w:r>
      <w:r>
        <w:rPr>
          <w:rFonts w:ascii="Times New Roman" w:hAnsi="Times New Roman" w:cs="Times New Roman"/>
          <w:color w:val="auto"/>
          <w:spacing w:val="35"/>
          <w:sz w:val="24"/>
          <w:szCs w:val="24"/>
        </w:rPr>
        <w:t xml:space="preserve"> </w:t>
      </w:r>
      <w:r>
        <w:rPr>
          <w:rFonts w:ascii="Times New Roman" w:hAnsi="Times New Roman" w:cs="Times New Roman"/>
          <w:color w:val="auto"/>
          <w:sz w:val="24"/>
          <w:szCs w:val="24"/>
        </w:rPr>
        <w:t>fitted</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with</w:t>
      </w:r>
      <w:r>
        <w:rPr>
          <w:rFonts w:ascii="Times New Roman" w:hAnsi="Times New Roman" w:cs="Times New Roman"/>
          <w:color w:val="auto"/>
          <w:spacing w:val="37"/>
          <w:sz w:val="24"/>
          <w:szCs w:val="24"/>
        </w:rPr>
        <w:t xml:space="preserve"> </w:t>
      </w:r>
      <w:r>
        <w:rPr>
          <w:rFonts w:ascii="Times New Roman" w:hAnsi="Times New Roman" w:cs="Times New Roman"/>
          <w:color w:val="auto"/>
          <w:sz w:val="24"/>
          <w:szCs w:val="24"/>
        </w:rPr>
        <w:t>louvre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blocks</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and</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plastic</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coated</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coffee</w:t>
      </w:r>
      <w:r>
        <w:rPr>
          <w:rFonts w:ascii="Times New Roman" w:hAnsi="Times New Roman" w:cs="Times New Roman"/>
          <w:color w:val="auto"/>
          <w:spacing w:val="40"/>
          <w:sz w:val="24"/>
          <w:szCs w:val="24"/>
        </w:rPr>
        <w:t xml:space="preserve"> </w:t>
      </w:r>
      <w:r>
        <w:rPr>
          <w:rFonts w:ascii="Times New Roman" w:hAnsi="Times New Roman" w:cs="Times New Roman"/>
          <w:color w:val="auto"/>
          <w:sz w:val="24"/>
          <w:szCs w:val="24"/>
        </w:rPr>
        <w:t>tray wires to prevent insect entry.</w:t>
      </w:r>
    </w:p>
    <w:p w14:paraId="2BA86F33">
      <w:pPr>
        <w:pStyle w:val="8"/>
        <w:spacing w:before="202" w:line="240" w:lineRule="auto"/>
        <w:ind w:left="812" w:right="169" w:firstLine="7"/>
        <w:rPr>
          <w:rFonts w:ascii="Times New Roman" w:hAnsi="Times New Roman" w:cs="Times New Roman"/>
          <w:color w:val="auto"/>
          <w:sz w:val="24"/>
          <w:szCs w:val="24"/>
        </w:rPr>
      </w:pPr>
      <w:r>
        <w:rPr>
          <w:rFonts w:ascii="Times New Roman" w:hAnsi="Times New Roman" w:cs="Times New Roman"/>
          <w:color w:val="auto"/>
          <w:sz w:val="24"/>
          <w:szCs w:val="24"/>
        </w:rPr>
        <w:t>A 2,000 litre water tank shall be installed</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to provide a 3-day storage of</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the volume required.</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 xml:space="preserve">The tanks will be mounted on top of the roof slab for supply of water to the ablution block especially in emergency cases. Electricity will be also provided for use at night and for security lighting. </w:t>
      </w:r>
    </w:p>
    <w:p w14:paraId="77BEC141">
      <w:pPr>
        <w:spacing w:before="199" w:line="240" w:lineRule="auto"/>
        <w:ind w:left="870" w:right="121" w:firstLine="3"/>
        <w:jc w:val="both"/>
        <w:rPr>
          <w:rFonts w:ascii="Times New Roman" w:hAnsi="Times New Roman"/>
          <w:b/>
          <w:szCs w:val="24"/>
        </w:rPr>
      </w:pPr>
      <w:r>
        <w:rPr>
          <w:rFonts w:ascii="Times New Roman" w:hAnsi="Times New Roman"/>
          <w:szCs w:val="24"/>
        </w:rPr>
        <w:t>A</w:t>
      </w:r>
      <w:r>
        <w:rPr>
          <w:rFonts w:ascii="Times New Roman" w:hAnsi="Times New Roman"/>
          <w:spacing w:val="-4"/>
          <w:szCs w:val="24"/>
        </w:rPr>
        <w:t xml:space="preserve"> </w:t>
      </w:r>
      <w:r>
        <w:rPr>
          <w:rFonts w:ascii="Times New Roman" w:hAnsi="Times New Roman"/>
          <w:szCs w:val="24"/>
        </w:rPr>
        <w:t>typical</w:t>
      </w:r>
      <w:r>
        <w:rPr>
          <w:rFonts w:ascii="Times New Roman" w:hAnsi="Times New Roman"/>
          <w:spacing w:val="-11"/>
          <w:szCs w:val="24"/>
        </w:rPr>
        <w:t xml:space="preserve"> </w:t>
      </w:r>
      <w:r>
        <w:rPr>
          <w:rFonts w:ascii="Times New Roman" w:hAnsi="Times New Roman"/>
          <w:szCs w:val="24"/>
        </w:rPr>
        <w:t>Site</w:t>
      </w:r>
      <w:r>
        <w:rPr>
          <w:rFonts w:ascii="Times New Roman" w:hAnsi="Times New Roman"/>
          <w:spacing w:val="-3"/>
          <w:szCs w:val="24"/>
        </w:rPr>
        <w:t xml:space="preserve"> </w:t>
      </w:r>
      <w:r>
        <w:rPr>
          <w:rFonts w:ascii="Times New Roman" w:hAnsi="Times New Roman"/>
          <w:szCs w:val="24"/>
        </w:rPr>
        <w:t>Layout, Plan</w:t>
      </w:r>
      <w:r>
        <w:rPr>
          <w:rFonts w:ascii="Times New Roman" w:hAnsi="Times New Roman"/>
          <w:spacing w:val="-5"/>
          <w:szCs w:val="24"/>
        </w:rPr>
        <w:t xml:space="preserve"> </w:t>
      </w:r>
      <w:r>
        <w:rPr>
          <w:rFonts w:ascii="Times New Roman" w:hAnsi="Times New Roman"/>
          <w:szCs w:val="24"/>
        </w:rPr>
        <w:t>and</w:t>
      </w:r>
      <w:r>
        <w:rPr>
          <w:rFonts w:ascii="Times New Roman" w:hAnsi="Times New Roman"/>
          <w:spacing w:val="-3"/>
          <w:szCs w:val="24"/>
        </w:rPr>
        <w:t xml:space="preserve"> </w:t>
      </w:r>
      <w:r>
        <w:rPr>
          <w:rFonts w:ascii="Times New Roman" w:hAnsi="Times New Roman"/>
          <w:szCs w:val="24"/>
        </w:rPr>
        <w:t>Elevations of</w:t>
      </w:r>
      <w:r>
        <w:rPr>
          <w:rFonts w:ascii="Times New Roman" w:hAnsi="Times New Roman"/>
          <w:spacing w:val="-12"/>
          <w:szCs w:val="24"/>
        </w:rPr>
        <w:t xml:space="preserve"> </w:t>
      </w:r>
      <w:r>
        <w:rPr>
          <w:rFonts w:ascii="Times New Roman" w:hAnsi="Times New Roman"/>
          <w:szCs w:val="24"/>
        </w:rPr>
        <w:t>the</w:t>
      </w:r>
      <w:r>
        <w:rPr>
          <w:rFonts w:ascii="Times New Roman" w:hAnsi="Times New Roman"/>
          <w:spacing w:val="-9"/>
          <w:szCs w:val="24"/>
        </w:rPr>
        <w:t xml:space="preserve"> </w:t>
      </w:r>
      <w:r>
        <w:rPr>
          <w:rFonts w:ascii="Times New Roman" w:hAnsi="Times New Roman"/>
          <w:szCs w:val="24"/>
        </w:rPr>
        <w:t>proposed Ablution</w:t>
      </w:r>
      <w:r>
        <w:rPr>
          <w:rFonts w:ascii="Times New Roman" w:hAnsi="Times New Roman"/>
          <w:spacing w:val="-4"/>
          <w:szCs w:val="24"/>
        </w:rPr>
        <w:t xml:space="preserve"> </w:t>
      </w:r>
      <w:r>
        <w:rPr>
          <w:rFonts w:ascii="Times New Roman" w:hAnsi="Times New Roman"/>
          <w:szCs w:val="24"/>
        </w:rPr>
        <w:t>Block are</w:t>
      </w:r>
      <w:r>
        <w:rPr>
          <w:rFonts w:ascii="Times New Roman" w:hAnsi="Times New Roman"/>
          <w:spacing w:val="-5"/>
          <w:szCs w:val="24"/>
        </w:rPr>
        <w:t xml:space="preserve"> </w:t>
      </w:r>
      <w:r>
        <w:rPr>
          <w:rFonts w:ascii="Times New Roman" w:hAnsi="Times New Roman"/>
          <w:szCs w:val="24"/>
        </w:rPr>
        <w:t>given</w:t>
      </w:r>
      <w:r>
        <w:rPr>
          <w:rFonts w:ascii="Times New Roman" w:hAnsi="Times New Roman"/>
          <w:spacing w:val="-6"/>
          <w:szCs w:val="24"/>
        </w:rPr>
        <w:t xml:space="preserve"> </w:t>
      </w:r>
      <w:r>
        <w:rPr>
          <w:rFonts w:ascii="Times New Roman" w:hAnsi="Times New Roman"/>
          <w:szCs w:val="24"/>
        </w:rPr>
        <w:t>in</w:t>
      </w:r>
      <w:r>
        <w:rPr>
          <w:rFonts w:ascii="Times New Roman" w:hAnsi="Times New Roman"/>
          <w:spacing w:val="-10"/>
          <w:szCs w:val="24"/>
        </w:rPr>
        <w:t xml:space="preserve"> </w:t>
      </w:r>
      <w:r>
        <w:rPr>
          <w:rFonts w:ascii="Times New Roman" w:hAnsi="Times New Roman"/>
          <w:b/>
          <w:szCs w:val="24"/>
        </w:rPr>
        <w:t>Figure</w:t>
      </w:r>
      <w:r>
        <w:rPr>
          <w:rFonts w:ascii="Times New Roman" w:hAnsi="Times New Roman"/>
          <w:b/>
          <w:spacing w:val="-3"/>
          <w:szCs w:val="24"/>
        </w:rPr>
        <w:t xml:space="preserve"> </w:t>
      </w:r>
      <w:r>
        <w:rPr>
          <w:rFonts w:ascii="Times New Roman" w:hAnsi="Times New Roman"/>
          <w:b/>
          <w:szCs w:val="24"/>
        </w:rPr>
        <w:t>1.1 on Page 6 below.</w:t>
      </w:r>
    </w:p>
    <w:p w14:paraId="6C08D09F">
      <w:pPr>
        <w:spacing w:before="199" w:line="240" w:lineRule="auto"/>
        <w:ind w:left="870" w:right="121" w:firstLine="3"/>
        <w:jc w:val="both"/>
        <w:rPr>
          <w:rFonts w:ascii="Times New Roman" w:hAnsi="Times New Roman"/>
          <w:b/>
          <w:szCs w:val="24"/>
        </w:rPr>
      </w:pPr>
      <w:r>
        <w:rPr>
          <w:rFonts w:ascii="Times New Roman" w:hAnsi="Times New Roman"/>
          <w:szCs w:val="24"/>
        </w:rPr>
        <w:t xml:space="preserve">A proposed BoQ estimate for carrying out the works is attached in </w:t>
      </w:r>
      <w:r>
        <w:rPr>
          <w:rFonts w:ascii="Times New Roman" w:hAnsi="Times New Roman"/>
          <w:b/>
          <w:szCs w:val="24"/>
        </w:rPr>
        <w:t>Appendix 1.</w:t>
      </w:r>
    </w:p>
    <w:p w14:paraId="29386743">
      <w:pPr>
        <w:spacing w:line="240" w:lineRule="auto"/>
        <w:jc w:val="both"/>
        <w:rPr>
          <w:rFonts w:ascii="Times New Roman" w:hAnsi="Times New Roman"/>
          <w:szCs w:val="24"/>
        </w:rPr>
      </w:pPr>
    </w:p>
    <w:p w14:paraId="73DE46C9">
      <w:pPr>
        <w:spacing w:line="240" w:lineRule="auto"/>
        <w:jc w:val="both"/>
        <w:rPr>
          <w:rFonts w:ascii="Times New Roman" w:hAnsi="Times New Roman"/>
          <w:szCs w:val="24"/>
        </w:rPr>
        <w:sectPr>
          <w:headerReference r:id="rId16" w:type="default"/>
          <w:footerReference r:id="rId17" w:type="default"/>
          <w:pgSz w:w="11910" w:h="16840"/>
          <w:pgMar w:top="1460" w:right="1060" w:bottom="780" w:left="1260" w:header="841" w:footer="580" w:gutter="0"/>
          <w:cols w:space="720" w:num="1"/>
        </w:sectPr>
      </w:pPr>
    </w:p>
    <w:p w14:paraId="314E77DE">
      <w:pPr>
        <w:keepNext/>
        <w:spacing w:line="240" w:lineRule="auto"/>
        <w:jc w:val="center"/>
        <w:rPr>
          <w:rFonts w:ascii="Times New Roman" w:hAnsi="Times New Roman"/>
          <w:szCs w:val="24"/>
        </w:rPr>
      </w:pPr>
      <w:r>
        <w:rPr>
          <w:rFonts w:ascii="Times New Roman" w:hAnsi="Times New Roman"/>
          <w:szCs w:val="24"/>
        </w:rPr>
        <w:drawing>
          <wp:inline distT="0" distB="0" distL="114300" distR="114300">
            <wp:extent cx="7858760" cy="5563235"/>
            <wp:effectExtent l="0" t="0" r="8890" b="18415"/>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5"/>
                    <pic:cNvPicPr>
                      <a:picLocks noChangeAspect="1"/>
                    </pic:cNvPicPr>
                  </pic:nvPicPr>
                  <pic:blipFill>
                    <a:blip r:embed="rId73"/>
                    <a:stretch>
                      <a:fillRect/>
                    </a:stretch>
                  </pic:blipFill>
                  <pic:spPr>
                    <a:xfrm>
                      <a:off x="0" y="0"/>
                      <a:ext cx="7858760" cy="5563235"/>
                    </a:xfrm>
                    <a:prstGeom prst="rect">
                      <a:avLst/>
                    </a:prstGeom>
                    <a:noFill/>
                    <a:ln>
                      <a:noFill/>
                    </a:ln>
                  </pic:spPr>
                </pic:pic>
              </a:graphicData>
            </a:graphic>
          </wp:inline>
        </w:drawing>
      </w:r>
    </w:p>
    <w:p w14:paraId="2A595A63">
      <w:pPr>
        <w:pStyle w:val="10"/>
        <w:jc w:val="center"/>
        <w:rPr>
          <w:rFonts w:ascii="Times New Roman" w:hAnsi="Times New Roman"/>
          <w:b/>
          <w:i w:val="0"/>
          <w:color w:val="auto"/>
        </w:rPr>
      </w:pPr>
      <w:r>
        <w:rPr>
          <w:rFonts w:ascii="Times New Roman" w:hAnsi="Times New Roman"/>
          <w:b/>
          <w:i w:val="0"/>
          <w:color w:val="auto"/>
        </w:rPr>
        <w:t xml:space="preserve">Figure </w:t>
      </w:r>
      <w:r>
        <w:rPr>
          <w:rFonts w:ascii="Times New Roman" w:hAnsi="Times New Roman"/>
          <w:b/>
          <w:i w:val="0"/>
          <w:color w:val="auto"/>
        </w:rPr>
        <w:fldChar w:fldCharType="begin"/>
      </w:r>
      <w:r>
        <w:rPr>
          <w:rFonts w:ascii="Times New Roman" w:hAnsi="Times New Roman"/>
          <w:b/>
          <w:i w:val="0"/>
          <w:color w:val="auto"/>
        </w:rPr>
        <w:instrText xml:space="preserve"> SEQ Figure \* ARABIC </w:instrText>
      </w:r>
      <w:r>
        <w:rPr>
          <w:rFonts w:ascii="Times New Roman" w:hAnsi="Times New Roman"/>
          <w:b/>
          <w:i w:val="0"/>
          <w:color w:val="auto"/>
        </w:rPr>
        <w:fldChar w:fldCharType="separate"/>
      </w:r>
      <w:r>
        <w:rPr>
          <w:rFonts w:ascii="Times New Roman" w:hAnsi="Times New Roman"/>
          <w:b/>
          <w:i w:val="0"/>
          <w:color w:val="auto"/>
        </w:rPr>
        <w:t>28</w:t>
      </w:r>
      <w:r>
        <w:rPr>
          <w:rFonts w:ascii="Times New Roman" w:hAnsi="Times New Roman"/>
          <w:b/>
          <w:i w:val="0"/>
          <w:color w:val="auto"/>
        </w:rPr>
        <w:fldChar w:fldCharType="end"/>
      </w:r>
      <w:bookmarkStart w:id="734" w:name="_Toc17878"/>
      <w:bookmarkStart w:id="735" w:name="_Toc345"/>
      <w:r>
        <w:rPr>
          <w:rFonts w:ascii="Times New Roman" w:hAnsi="Times New Roman"/>
          <w:b/>
          <w:i w:val="0"/>
          <w:color w:val="auto"/>
        </w:rPr>
        <w:t xml:space="preserve"> : Layout, elevations and a sectional view of the proposed Kimawasco Office Ablution Block</w:t>
      </w:r>
      <w:bookmarkEnd w:id="734"/>
      <w:bookmarkEnd w:id="735"/>
    </w:p>
    <w:p w14:paraId="40ED6088">
      <w:pPr>
        <w:spacing w:line="240" w:lineRule="auto"/>
        <w:jc w:val="center"/>
        <w:rPr>
          <w:rFonts w:ascii="Times New Roman" w:hAnsi="Times New Roman"/>
          <w:b/>
          <w:szCs w:val="24"/>
        </w:rPr>
        <w:sectPr>
          <w:headerReference r:id="rId18" w:type="default"/>
          <w:footerReference r:id="rId19" w:type="default"/>
          <w:type w:val="continuous"/>
          <w:pgSz w:w="16840" w:h="11910" w:orient="landscape"/>
          <w:pgMar w:top="1460" w:right="1960" w:bottom="780" w:left="1260" w:header="663" w:footer="753" w:gutter="0"/>
          <w:cols w:space="720" w:num="1"/>
        </w:sectPr>
      </w:pPr>
    </w:p>
    <w:p w14:paraId="6D9D0FB4">
      <w:pPr>
        <w:pStyle w:val="2"/>
        <w:numPr>
          <w:ilvl w:val="0"/>
          <w:numId w:val="0"/>
        </w:numPr>
        <w:ind w:left="432"/>
        <w:rPr>
          <w:rFonts w:ascii="Times New Roman" w:hAnsi="Times New Roman"/>
        </w:rPr>
      </w:pPr>
      <w:bookmarkStart w:id="736" w:name="_Toc220710878"/>
      <w:bookmarkStart w:id="737" w:name="_Toc8779"/>
      <w:bookmarkStart w:id="738" w:name="_Toc19014"/>
      <w:r>
        <w:rPr>
          <w:rFonts w:ascii="Times New Roman" w:hAnsi="Times New Roman"/>
        </w:rPr>
        <w:t>List of Appendices</w:t>
      </w:r>
      <w:bookmarkEnd w:id="736"/>
      <w:bookmarkEnd w:id="737"/>
      <w:bookmarkEnd w:id="738"/>
    </w:p>
    <w:p w14:paraId="3D70657A">
      <w:pPr>
        <w:spacing w:line="240" w:lineRule="auto"/>
        <w:rPr>
          <w:rFonts w:ascii="Times New Roman" w:hAnsi="Times New Roman"/>
          <w:b/>
          <w:szCs w:val="24"/>
        </w:rPr>
      </w:pPr>
    </w:p>
    <w:p w14:paraId="1BF1C12E">
      <w:pPr>
        <w:spacing w:line="240" w:lineRule="auto"/>
        <w:rPr>
          <w:rFonts w:ascii="Times New Roman" w:hAnsi="Times New Roman"/>
          <w:b/>
          <w:szCs w:val="24"/>
        </w:rPr>
      </w:pPr>
      <w:r>
        <w:rPr>
          <w:rFonts w:ascii="Times New Roman" w:hAnsi="Times New Roman"/>
          <w:b/>
          <w:szCs w:val="24"/>
        </w:rPr>
        <w:t>Appendix 1: Revised Bills of Quantities</w:t>
      </w:r>
    </w:p>
    <w:p w14:paraId="248CBC9B">
      <w:pPr>
        <w:spacing w:line="240" w:lineRule="auto"/>
        <w:jc w:val="center"/>
        <w:rPr>
          <w:rFonts w:ascii="Times New Roman" w:hAnsi="Times New Roman"/>
          <w:b/>
          <w:szCs w:val="24"/>
        </w:rPr>
      </w:pPr>
    </w:p>
    <w:p w14:paraId="462C574E">
      <w:pPr>
        <w:spacing w:line="240" w:lineRule="auto"/>
        <w:jc w:val="center"/>
        <w:rPr>
          <w:rFonts w:ascii="Times New Roman" w:hAnsi="Times New Roman"/>
          <w:b/>
          <w:szCs w:val="24"/>
        </w:rPr>
      </w:pPr>
    </w:p>
    <w:p w14:paraId="2E1E32BD">
      <w:pPr>
        <w:spacing w:line="240" w:lineRule="auto"/>
        <w:jc w:val="center"/>
        <w:rPr>
          <w:rFonts w:ascii="Times New Roman" w:hAnsi="Times New Roman"/>
          <w:b/>
          <w:szCs w:val="24"/>
        </w:rPr>
      </w:pPr>
    </w:p>
    <w:p w14:paraId="578D499C">
      <w:pPr>
        <w:spacing w:line="240" w:lineRule="auto"/>
        <w:jc w:val="center"/>
        <w:rPr>
          <w:rFonts w:ascii="Times New Roman" w:hAnsi="Times New Roman"/>
          <w:b/>
          <w:szCs w:val="24"/>
        </w:rPr>
      </w:pPr>
    </w:p>
    <w:p w14:paraId="624DD46A">
      <w:pPr>
        <w:spacing w:line="240" w:lineRule="auto"/>
        <w:jc w:val="center"/>
        <w:rPr>
          <w:rFonts w:ascii="Times New Roman" w:hAnsi="Times New Roman"/>
          <w:b/>
          <w:szCs w:val="24"/>
        </w:rPr>
      </w:pPr>
    </w:p>
    <w:p w14:paraId="5EDAD22E">
      <w:pPr>
        <w:spacing w:line="240" w:lineRule="auto"/>
        <w:jc w:val="center"/>
        <w:rPr>
          <w:rFonts w:ascii="Times New Roman" w:hAnsi="Times New Roman"/>
          <w:b/>
          <w:szCs w:val="24"/>
        </w:rPr>
      </w:pPr>
    </w:p>
    <w:p w14:paraId="0BBE093A">
      <w:pPr>
        <w:spacing w:line="240" w:lineRule="auto"/>
        <w:jc w:val="center"/>
        <w:rPr>
          <w:rFonts w:ascii="Times New Roman" w:hAnsi="Times New Roman"/>
          <w:b/>
          <w:szCs w:val="24"/>
        </w:rPr>
      </w:pPr>
    </w:p>
    <w:p w14:paraId="1474B9BC">
      <w:pPr>
        <w:spacing w:line="240" w:lineRule="auto"/>
        <w:jc w:val="center"/>
        <w:rPr>
          <w:rFonts w:ascii="Times New Roman" w:hAnsi="Times New Roman"/>
          <w:b/>
          <w:szCs w:val="24"/>
        </w:rPr>
      </w:pPr>
    </w:p>
    <w:p w14:paraId="5D061598">
      <w:pPr>
        <w:spacing w:line="240" w:lineRule="auto"/>
        <w:jc w:val="center"/>
        <w:rPr>
          <w:rFonts w:ascii="Times New Roman" w:hAnsi="Times New Roman"/>
          <w:b/>
          <w:szCs w:val="24"/>
        </w:rPr>
      </w:pPr>
    </w:p>
    <w:p w14:paraId="4D77602E">
      <w:pPr>
        <w:spacing w:line="240" w:lineRule="auto"/>
        <w:jc w:val="center"/>
        <w:rPr>
          <w:rFonts w:ascii="Times New Roman" w:hAnsi="Times New Roman"/>
          <w:b/>
          <w:szCs w:val="24"/>
        </w:rPr>
      </w:pPr>
    </w:p>
    <w:p w14:paraId="77B19721">
      <w:pPr>
        <w:spacing w:line="240" w:lineRule="auto"/>
        <w:jc w:val="center"/>
        <w:rPr>
          <w:rFonts w:ascii="Times New Roman" w:hAnsi="Times New Roman"/>
          <w:b/>
          <w:szCs w:val="24"/>
        </w:rPr>
      </w:pPr>
    </w:p>
    <w:p w14:paraId="72FFC5B2">
      <w:pPr>
        <w:spacing w:line="240" w:lineRule="auto"/>
        <w:jc w:val="center"/>
        <w:rPr>
          <w:rFonts w:ascii="Times New Roman" w:hAnsi="Times New Roman"/>
          <w:b/>
          <w:szCs w:val="24"/>
        </w:rPr>
      </w:pPr>
    </w:p>
    <w:p w14:paraId="59502F7B">
      <w:pPr>
        <w:spacing w:line="240" w:lineRule="auto"/>
        <w:jc w:val="center"/>
        <w:rPr>
          <w:rFonts w:ascii="Times New Roman" w:hAnsi="Times New Roman"/>
          <w:b/>
          <w:szCs w:val="24"/>
        </w:rPr>
      </w:pPr>
    </w:p>
    <w:p w14:paraId="743A5839">
      <w:pPr>
        <w:spacing w:line="240" w:lineRule="auto"/>
        <w:jc w:val="center"/>
        <w:rPr>
          <w:rFonts w:ascii="Times New Roman" w:hAnsi="Times New Roman"/>
          <w:b/>
          <w:szCs w:val="24"/>
        </w:rPr>
      </w:pPr>
    </w:p>
    <w:p w14:paraId="7D577B0A">
      <w:pPr>
        <w:spacing w:line="240" w:lineRule="auto"/>
        <w:jc w:val="center"/>
        <w:rPr>
          <w:rFonts w:ascii="Times New Roman" w:hAnsi="Times New Roman"/>
          <w:b/>
          <w:szCs w:val="24"/>
        </w:rPr>
      </w:pPr>
    </w:p>
    <w:p w14:paraId="2018240C">
      <w:pPr>
        <w:spacing w:line="240" w:lineRule="auto"/>
        <w:jc w:val="center"/>
        <w:rPr>
          <w:rFonts w:ascii="Times New Roman" w:hAnsi="Times New Roman"/>
          <w:b/>
          <w:szCs w:val="24"/>
        </w:rPr>
      </w:pPr>
    </w:p>
    <w:p w14:paraId="592BAC1C">
      <w:pPr>
        <w:spacing w:line="240" w:lineRule="auto"/>
        <w:jc w:val="center"/>
        <w:rPr>
          <w:rFonts w:ascii="Times New Roman" w:hAnsi="Times New Roman"/>
          <w:b/>
          <w:szCs w:val="24"/>
        </w:rPr>
      </w:pPr>
    </w:p>
    <w:p w14:paraId="7B76A082">
      <w:pPr>
        <w:spacing w:line="240" w:lineRule="auto"/>
        <w:jc w:val="center"/>
        <w:rPr>
          <w:rFonts w:ascii="Times New Roman" w:hAnsi="Times New Roman"/>
          <w:b/>
          <w:szCs w:val="24"/>
        </w:rPr>
      </w:pPr>
    </w:p>
    <w:p w14:paraId="10F8A27A">
      <w:pPr>
        <w:spacing w:line="240" w:lineRule="auto"/>
        <w:jc w:val="center"/>
        <w:rPr>
          <w:rFonts w:ascii="Times New Roman" w:hAnsi="Times New Roman"/>
          <w:b/>
          <w:szCs w:val="24"/>
        </w:rPr>
      </w:pPr>
    </w:p>
    <w:p w14:paraId="2D7DD08D">
      <w:pPr>
        <w:spacing w:line="240" w:lineRule="auto"/>
        <w:jc w:val="center"/>
        <w:rPr>
          <w:rFonts w:ascii="Times New Roman" w:hAnsi="Times New Roman"/>
          <w:b/>
          <w:szCs w:val="24"/>
        </w:rPr>
      </w:pPr>
    </w:p>
    <w:p w14:paraId="4EB68DD5">
      <w:pPr>
        <w:spacing w:line="240" w:lineRule="auto"/>
        <w:jc w:val="center"/>
        <w:rPr>
          <w:rFonts w:ascii="Times New Roman" w:hAnsi="Times New Roman"/>
          <w:b/>
          <w:szCs w:val="24"/>
        </w:rPr>
      </w:pPr>
    </w:p>
    <w:p w14:paraId="4C6C11B3">
      <w:pPr>
        <w:spacing w:line="240" w:lineRule="auto"/>
        <w:jc w:val="both"/>
        <w:rPr>
          <w:rFonts w:ascii="Times New Roman" w:hAnsi="Times New Roman"/>
          <w:b/>
          <w:szCs w:val="24"/>
        </w:rPr>
      </w:pPr>
    </w:p>
    <w:p w14:paraId="68EFDA64">
      <w:pPr>
        <w:spacing w:line="240" w:lineRule="auto"/>
        <w:jc w:val="center"/>
        <w:rPr>
          <w:rFonts w:ascii="Times New Roman" w:hAnsi="Times New Roman"/>
          <w:b/>
          <w:szCs w:val="24"/>
        </w:rPr>
      </w:pPr>
    </w:p>
    <w:p w14:paraId="549A0A6A">
      <w:pPr>
        <w:spacing w:line="240" w:lineRule="auto"/>
        <w:jc w:val="center"/>
        <w:rPr>
          <w:rFonts w:ascii="Times New Roman" w:hAnsi="Times New Roman"/>
          <w:b/>
          <w:szCs w:val="24"/>
        </w:rPr>
      </w:pPr>
    </w:p>
    <w:p w14:paraId="348E676A">
      <w:pPr>
        <w:spacing w:line="240" w:lineRule="auto"/>
        <w:jc w:val="center"/>
        <w:rPr>
          <w:rFonts w:ascii="Times New Roman" w:hAnsi="Times New Roman"/>
          <w:b/>
          <w:szCs w:val="24"/>
        </w:rPr>
      </w:pPr>
    </w:p>
    <w:p w14:paraId="56221E5B">
      <w:pPr>
        <w:spacing w:line="240" w:lineRule="auto"/>
        <w:jc w:val="center"/>
        <w:rPr>
          <w:rFonts w:ascii="Times New Roman" w:hAnsi="Times New Roman"/>
          <w:b/>
          <w:szCs w:val="24"/>
        </w:rPr>
      </w:pPr>
    </w:p>
    <w:p w14:paraId="75F36285">
      <w:pPr>
        <w:spacing w:line="240" w:lineRule="auto"/>
        <w:jc w:val="center"/>
        <w:rPr>
          <w:rFonts w:ascii="Times New Roman" w:hAnsi="Times New Roman"/>
          <w:b/>
          <w:szCs w:val="24"/>
        </w:rPr>
      </w:pPr>
    </w:p>
    <w:p w14:paraId="151783E0">
      <w:pPr>
        <w:spacing w:line="240" w:lineRule="auto"/>
        <w:jc w:val="center"/>
        <w:rPr>
          <w:rFonts w:ascii="Times New Roman" w:hAnsi="Times New Roman"/>
          <w:b/>
          <w:szCs w:val="24"/>
        </w:rPr>
      </w:pPr>
    </w:p>
    <w:p w14:paraId="422AF015">
      <w:pPr>
        <w:spacing w:line="240" w:lineRule="auto"/>
        <w:jc w:val="center"/>
        <w:rPr>
          <w:rFonts w:ascii="Times New Roman" w:hAnsi="Times New Roman"/>
          <w:b/>
          <w:szCs w:val="24"/>
        </w:rPr>
      </w:pPr>
    </w:p>
    <w:p w14:paraId="044928F4">
      <w:pPr>
        <w:spacing w:line="240" w:lineRule="auto"/>
        <w:jc w:val="center"/>
        <w:rPr>
          <w:rFonts w:ascii="Times New Roman" w:hAnsi="Times New Roman"/>
          <w:b/>
          <w:szCs w:val="24"/>
        </w:rPr>
      </w:pPr>
    </w:p>
    <w:p w14:paraId="05B4CB85">
      <w:pPr>
        <w:spacing w:line="240" w:lineRule="auto"/>
        <w:jc w:val="center"/>
        <w:rPr>
          <w:rFonts w:ascii="Times New Roman" w:hAnsi="Times New Roman"/>
          <w:b/>
          <w:szCs w:val="24"/>
        </w:rPr>
      </w:pPr>
    </w:p>
    <w:p w14:paraId="03F06D9C">
      <w:pPr>
        <w:spacing w:line="240" w:lineRule="auto"/>
        <w:jc w:val="right"/>
        <w:rPr>
          <w:rFonts w:ascii="Times New Roman" w:hAnsi="Times New Roman"/>
          <w:b/>
          <w:szCs w:val="24"/>
        </w:rPr>
      </w:pPr>
      <w:r>
        <w:rPr>
          <w:rFonts w:ascii="Times New Roman" w:hAnsi="Times New Roman"/>
          <w:b/>
          <w:szCs w:val="24"/>
        </w:rPr>
        <w:t>Appendix 1</w:t>
      </w:r>
    </w:p>
    <w:p w14:paraId="39A9A74E">
      <w:pPr>
        <w:spacing w:line="240" w:lineRule="auto"/>
        <w:jc w:val="right"/>
        <w:rPr>
          <w:rFonts w:ascii="Times New Roman" w:hAnsi="Times New Roman"/>
          <w:b/>
          <w:szCs w:val="24"/>
        </w:rPr>
      </w:pPr>
      <w:r>
        <w:rPr>
          <w:rFonts w:ascii="Times New Roman" w:hAnsi="Times New Roman"/>
          <w:b/>
          <w:szCs w:val="24"/>
        </w:rPr>
        <w:t>Revised Bills of Quantities</w:t>
      </w:r>
    </w:p>
    <w:p w14:paraId="3C842691">
      <w:pPr>
        <w:spacing w:line="240" w:lineRule="auto"/>
        <w:jc w:val="center"/>
        <w:rPr>
          <w:rFonts w:ascii="Times New Roman" w:hAnsi="Times New Roman"/>
          <w:b/>
          <w:szCs w:val="24"/>
        </w:rPr>
      </w:pPr>
    </w:p>
    <w:p w14:paraId="34C84A3D">
      <w:pPr>
        <w:spacing w:line="240" w:lineRule="auto"/>
        <w:jc w:val="center"/>
        <w:rPr>
          <w:rFonts w:ascii="Times New Roman" w:hAnsi="Times New Roman"/>
          <w:b/>
          <w:szCs w:val="24"/>
        </w:rPr>
      </w:pPr>
    </w:p>
    <w:p w14:paraId="02D4DD88">
      <w:pPr>
        <w:spacing w:line="240" w:lineRule="auto"/>
        <w:jc w:val="center"/>
        <w:rPr>
          <w:rFonts w:ascii="Times New Roman" w:hAnsi="Times New Roman"/>
          <w:b/>
          <w:szCs w:val="24"/>
        </w:rPr>
      </w:pPr>
    </w:p>
    <w:p w14:paraId="3B4355F1">
      <w:pPr>
        <w:spacing w:line="240" w:lineRule="auto"/>
        <w:jc w:val="center"/>
        <w:rPr>
          <w:rFonts w:ascii="Times New Roman" w:hAnsi="Times New Roman"/>
          <w:b/>
          <w:szCs w:val="24"/>
        </w:rPr>
      </w:pPr>
    </w:p>
    <w:p w14:paraId="2144C67D">
      <w:pPr>
        <w:spacing w:line="240" w:lineRule="auto"/>
        <w:jc w:val="center"/>
        <w:rPr>
          <w:rFonts w:ascii="Times New Roman" w:hAnsi="Times New Roman"/>
          <w:b/>
          <w:szCs w:val="24"/>
        </w:rPr>
      </w:pPr>
    </w:p>
    <w:p w14:paraId="667F5BE9">
      <w:pPr>
        <w:spacing w:line="240" w:lineRule="auto"/>
        <w:jc w:val="center"/>
        <w:rPr>
          <w:rFonts w:ascii="Times New Roman" w:hAnsi="Times New Roman"/>
          <w:b/>
          <w:szCs w:val="24"/>
        </w:rPr>
      </w:pPr>
    </w:p>
    <w:p w14:paraId="3EF5E3D1">
      <w:pPr>
        <w:spacing w:line="240" w:lineRule="auto"/>
        <w:jc w:val="center"/>
        <w:rPr>
          <w:rFonts w:ascii="Times New Roman" w:hAnsi="Times New Roman"/>
          <w:b/>
          <w:szCs w:val="24"/>
        </w:rPr>
      </w:pPr>
    </w:p>
    <w:p w14:paraId="7A31B186">
      <w:pPr>
        <w:spacing w:line="240" w:lineRule="auto"/>
        <w:rPr>
          <w:rFonts w:ascii="Times New Roman" w:hAnsi="Times New Roman"/>
          <w:b/>
          <w:szCs w:val="24"/>
        </w:rPr>
      </w:pPr>
    </w:p>
    <w:p w14:paraId="5F745165">
      <w:pPr>
        <w:spacing w:line="240" w:lineRule="auto"/>
        <w:rPr>
          <w:rFonts w:ascii="Times New Roman" w:hAnsi="Times New Roman"/>
          <w:b/>
          <w:szCs w:val="24"/>
        </w:rPr>
      </w:pPr>
    </w:p>
    <w:p w14:paraId="0C63894E">
      <w:pPr>
        <w:spacing w:line="240" w:lineRule="auto"/>
        <w:rPr>
          <w:rFonts w:ascii="Times New Roman" w:hAnsi="Times New Roman"/>
          <w:b/>
          <w:szCs w:val="24"/>
        </w:rPr>
      </w:pPr>
    </w:p>
    <w:p w14:paraId="6197213E">
      <w:pPr>
        <w:spacing w:line="240" w:lineRule="auto"/>
        <w:rPr>
          <w:rFonts w:ascii="Times New Roman" w:hAnsi="Times New Roman"/>
          <w:b/>
          <w:szCs w:val="24"/>
        </w:rPr>
      </w:pPr>
    </w:p>
    <w:p w14:paraId="7DE3324B">
      <w:pPr>
        <w:spacing w:line="240" w:lineRule="auto"/>
        <w:rPr>
          <w:rFonts w:ascii="Times New Roman" w:hAnsi="Times New Roman"/>
          <w:b/>
          <w:szCs w:val="24"/>
        </w:rPr>
      </w:pPr>
    </w:p>
    <w:p w14:paraId="100D613C">
      <w:pPr>
        <w:spacing w:line="240" w:lineRule="auto"/>
        <w:rPr>
          <w:rFonts w:ascii="Times New Roman" w:hAnsi="Times New Roman"/>
          <w:b/>
          <w:szCs w:val="24"/>
        </w:rPr>
      </w:pPr>
    </w:p>
    <w:p w14:paraId="6C57E32E">
      <w:pPr>
        <w:spacing w:line="240" w:lineRule="auto"/>
        <w:rPr>
          <w:rFonts w:ascii="Times New Roman" w:hAnsi="Times New Roman"/>
          <w:b/>
          <w:szCs w:val="24"/>
        </w:rPr>
      </w:pPr>
    </w:p>
    <w:p w14:paraId="02B3583F">
      <w:pPr>
        <w:spacing w:line="240" w:lineRule="auto"/>
        <w:rPr>
          <w:rFonts w:ascii="Times New Roman" w:hAnsi="Times New Roman"/>
          <w:b/>
          <w:szCs w:val="24"/>
        </w:rPr>
      </w:pPr>
    </w:p>
    <w:p w14:paraId="354D182B">
      <w:pPr>
        <w:spacing w:line="240" w:lineRule="auto"/>
        <w:rPr>
          <w:rFonts w:ascii="Times New Roman" w:hAnsi="Times New Roman"/>
          <w:b/>
          <w:szCs w:val="24"/>
        </w:rPr>
      </w:pPr>
    </w:p>
    <w:p w14:paraId="69A4F4B3">
      <w:pPr>
        <w:spacing w:line="240" w:lineRule="auto"/>
        <w:rPr>
          <w:rFonts w:ascii="Times New Roman" w:hAnsi="Times New Roman"/>
          <w:b/>
          <w:szCs w:val="24"/>
        </w:rPr>
      </w:pPr>
    </w:p>
    <w:p w14:paraId="784C6804">
      <w:pPr>
        <w:spacing w:line="240" w:lineRule="auto"/>
        <w:rPr>
          <w:rFonts w:ascii="Times New Roman" w:hAnsi="Times New Roman"/>
          <w:b/>
          <w:szCs w:val="24"/>
        </w:rPr>
      </w:pPr>
    </w:p>
    <w:p w14:paraId="263F5E5C">
      <w:pPr>
        <w:spacing w:line="240" w:lineRule="auto"/>
        <w:rPr>
          <w:rFonts w:ascii="Times New Roman" w:hAnsi="Times New Roman"/>
          <w:b/>
          <w:szCs w:val="24"/>
        </w:rPr>
      </w:pPr>
    </w:p>
    <w:p w14:paraId="6813C177">
      <w:pPr>
        <w:spacing w:line="240" w:lineRule="auto"/>
        <w:rPr>
          <w:rFonts w:ascii="Times New Roman" w:hAnsi="Times New Roman"/>
          <w:b/>
          <w:szCs w:val="24"/>
        </w:rPr>
      </w:pPr>
    </w:p>
    <w:p w14:paraId="58F1EE76">
      <w:pPr>
        <w:spacing w:line="240" w:lineRule="auto"/>
        <w:rPr>
          <w:rFonts w:ascii="Times New Roman" w:hAnsi="Times New Roman"/>
          <w:b/>
          <w:szCs w:val="24"/>
        </w:rPr>
      </w:pPr>
    </w:p>
    <w:p w14:paraId="545604D9">
      <w:pPr>
        <w:spacing w:line="240" w:lineRule="auto"/>
        <w:rPr>
          <w:rFonts w:ascii="Times New Roman" w:hAnsi="Times New Roman"/>
          <w:b/>
          <w:szCs w:val="24"/>
        </w:rPr>
      </w:pPr>
    </w:p>
    <w:p w14:paraId="0304ECD3">
      <w:pPr>
        <w:spacing w:line="240" w:lineRule="auto"/>
        <w:rPr>
          <w:rFonts w:ascii="Times New Roman" w:hAnsi="Times New Roman"/>
          <w:b/>
          <w:szCs w:val="24"/>
        </w:rPr>
      </w:pPr>
    </w:p>
    <w:p w14:paraId="6EFE1505">
      <w:pPr>
        <w:spacing w:line="240" w:lineRule="auto"/>
        <w:rPr>
          <w:rFonts w:ascii="Times New Roman" w:hAnsi="Times New Roman"/>
          <w:b/>
          <w:szCs w:val="24"/>
        </w:rPr>
      </w:pPr>
    </w:p>
    <w:p w14:paraId="24794DC4">
      <w:pPr>
        <w:spacing w:line="240" w:lineRule="auto"/>
        <w:rPr>
          <w:rFonts w:ascii="Times New Roman" w:hAnsi="Times New Roman"/>
          <w:b/>
          <w:szCs w:val="24"/>
        </w:rPr>
      </w:pPr>
    </w:p>
    <w:p w14:paraId="5CA926CD">
      <w:pPr>
        <w:spacing w:line="240" w:lineRule="auto"/>
        <w:rPr>
          <w:rFonts w:ascii="Times New Roman" w:hAnsi="Times New Roman"/>
          <w:b/>
          <w:szCs w:val="24"/>
        </w:rPr>
      </w:pPr>
    </w:p>
    <w:p w14:paraId="60427511">
      <w:pPr>
        <w:spacing w:line="240" w:lineRule="auto"/>
        <w:rPr>
          <w:rFonts w:ascii="Times New Roman" w:hAnsi="Times New Roman"/>
          <w:b/>
          <w:szCs w:val="24"/>
        </w:rPr>
      </w:pPr>
    </w:p>
    <w:p w14:paraId="7091EAE9">
      <w:pPr>
        <w:spacing w:line="240" w:lineRule="auto"/>
        <w:rPr>
          <w:rFonts w:ascii="Times New Roman" w:hAnsi="Times New Roman"/>
          <w:b/>
          <w:szCs w:val="24"/>
        </w:rPr>
      </w:pPr>
    </w:p>
    <w:p w14:paraId="28EDCF67">
      <w:pPr>
        <w:spacing w:line="240" w:lineRule="auto"/>
        <w:rPr>
          <w:rFonts w:ascii="Times New Roman" w:hAnsi="Times New Roman"/>
          <w:b/>
          <w:szCs w:val="24"/>
        </w:rPr>
      </w:pPr>
    </w:p>
    <w:p w14:paraId="463A657B">
      <w:pPr>
        <w:spacing w:line="240" w:lineRule="auto"/>
        <w:rPr>
          <w:rFonts w:ascii="Times New Roman" w:hAnsi="Times New Roman"/>
          <w:b/>
          <w:szCs w:val="24"/>
        </w:rPr>
      </w:pPr>
    </w:p>
    <w:p w14:paraId="4953E8F7">
      <w:pPr>
        <w:spacing w:line="240" w:lineRule="auto"/>
        <w:rPr>
          <w:rFonts w:ascii="Times New Roman" w:hAnsi="Times New Roman"/>
          <w:b/>
          <w:szCs w:val="24"/>
        </w:rPr>
      </w:pPr>
    </w:p>
    <w:tbl>
      <w:tblPr>
        <w:tblStyle w:val="7"/>
        <w:tblW w:w="9346" w:type="dxa"/>
        <w:tblInd w:w="118" w:type="dxa"/>
        <w:tblLayout w:type="fixed"/>
        <w:tblCellMar>
          <w:top w:w="0" w:type="dxa"/>
          <w:left w:w="108" w:type="dxa"/>
          <w:bottom w:w="0" w:type="dxa"/>
          <w:right w:w="108" w:type="dxa"/>
        </w:tblCellMar>
      </w:tblPr>
      <w:tblGrid>
        <w:gridCol w:w="576"/>
        <w:gridCol w:w="3144"/>
        <w:gridCol w:w="960"/>
        <w:gridCol w:w="960"/>
        <w:gridCol w:w="1900"/>
        <w:gridCol w:w="1806"/>
      </w:tblGrid>
      <w:tr w14:paraId="25DE717D">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331D17EF">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1</w:t>
            </w:r>
          </w:p>
        </w:tc>
        <w:tc>
          <w:tcPr>
            <w:tcW w:w="3144" w:type="dxa"/>
            <w:tcBorders>
              <w:top w:val="single" w:color="auto" w:sz="4" w:space="0"/>
              <w:left w:val="nil"/>
              <w:bottom w:val="single" w:color="auto" w:sz="4" w:space="0"/>
              <w:right w:val="single" w:color="auto" w:sz="4" w:space="0"/>
            </w:tcBorders>
          </w:tcPr>
          <w:p w14:paraId="7E2BFB3F">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SUB-STRUCTURES</w:t>
            </w:r>
          </w:p>
        </w:tc>
        <w:tc>
          <w:tcPr>
            <w:tcW w:w="960" w:type="dxa"/>
            <w:tcBorders>
              <w:top w:val="single" w:color="auto" w:sz="4" w:space="0"/>
              <w:left w:val="nil"/>
              <w:bottom w:val="single" w:color="auto" w:sz="4" w:space="0"/>
              <w:right w:val="single" w:color="auto" w:sz="4" w:space="0"/>
            </w:tcBorders>
          </w:tcPr>
          <w:p w14:paraId="78528E6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single" w:color="auto" w:sz="4" w:space="0"/>
              <w:left w:val="nil"/>
              <w:bottom w:val="single" w:color="auto" w:sz="4" w:space="0"/>
              <w:right w:val="single" w:color="auto" w:sz="4" w:space="0"/>
            </w:tcBorders>
          </w:tcPr>
          <w:p w14:paraId="122E02A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single" w:color="auto" w:sz="4" w:space="0"/>
              <w:left w:val="nil"/>
              <w:bottom w:val="single" w:color="auto" w:sz="4" w:space="0"/>
              <w:right w:val="single" w:color="auto" w:sz="4" w:space="0"/>
            </w:tcBorders>
          </w:tcPr>
          <w:p w14:paraId="0A277BA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single" w:color="auto" w:sz="4" w:space="0"/>
              <w:left w:val="nil"/>
              <w:bottom w:val="single" w:color="auto" w:sz="4" w:space="0"/>
              <w:right w:val="single" w:color="auto" w:sz="8" w:space="0"/>
            </w:tcBorders>
          </w:tcPr>
          <w:p w14:paraId="27C0ADF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04176A4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1B487F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5D0505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3A6018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2946FA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38D3A6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C076E1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56086B5E">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115524A6">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0A6BBBA4">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SITE CLEARANCE &amp; TOP SOIL STRIPPING</w:t>
            </w:r>
          </w:p>
        </w:tc>
        <w:tc>
          <w:tcPr>
            <w:tcW w:w="960" w:type="dxa"/>
            <w:tcBorders>
              <w:top w:val="nil"/>
              <w:left w:val="nil"/>
              <w:bottom w:val="single" w:color="auto" w:sz="4" w:space="0"/>
              <w:right w:val="single" w:color="auto" w:sz="4" w:space="0"/>
            </w:tcBorders>
          </w:tcPr>
          <w:p w14:paraId="620A330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C558DE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932C83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C38B1C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6BC8D8D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C0BD3C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CC8894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448538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5B8FB8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495EDD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6D31B3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7C58B841">
        <w:tblPrEx>
          <w:tblCellMar>
            <w:top w:w="0" w:type="dxa"/>
            <w:left w:w="108" w:type="dxa"/>
            <w:bottom w:w="0" w:type="dxa"/>
            <w:right w:w="108" w:type="dxa"/>
          </w:tblCellMar>
        </w:tblPrEx>
        <w:trPr>
          <w:trHeight w:val="1275" w:hRule="atLeast"/>
        </w:trPr>
        <w:tc>
          <w:tcPr>
            <w:tcW w:w="576" w:type="dxa"/>
            <w:tcBorders>
              <w:top w:val="nil"/>
              <w:left w:val="single" w:color="auto" w:sz="8" w:space="0"/>
              <w:bottom w:val="single" w:color="auto" w:sz="4" w:space="0"/>
              <w:right w:val="single" w:color="auto" w:sz="4" w:space="0"/>
            </w:tcBorders>
          </w:tcPr>
          <w:p w14:paraId="1333763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w:t>
            </w:r>
          </w:p>
        </w:tc>
        <w:tc>
          <w:tcPr>
            <w:tcW w:w="3144" w:type="dxa"/>
            <w:tcBorders>
              <w:top w:val="nil"/>
              <w:left w:val="nil"/>
              <w:bottom w:val="single" w:color="auto" w:sz="4" w:space="0"/>
              <w:right w:val="single" w:color="auto" w:sz="4" w:space="0"/>
            </w:tcBorders>
          </w:tcPr>
          <w:p w14:paraId="384BDC99">
            <w:pPr>
              <w:spacing w:line="240" w:lineRule="auto"/>
              <w:rPr>
                <w:rFonts w:ascii="Times New Roman" w:hAnsi="Times New Roman" w:eastAsia="Times New Roman"/>
                <w:sz w:val="16"/>
                <w:szCs w:val="16"/>
              </w:rPr>
            </w:pPr>
            <w:r>
              <w:rPr>
                <w:rFonts w:ascii="Times New Roman" w:hAnsi="Times New Roman" w:eastAsia="Times New Roman"/>
                <w:sz w:val="16"/>
                <w:szCs w:val="16"/>
              </w:rPr>
              <w:t>Clear area within the site of all grass, bushes, shrubs, hedges, grub up roots and cart away to tips as directed by the Engineer.</w:t>
            </w:r>
          </w:p>
        </w:tc>
        <w:tc>
          <w:tcPr>
            <w:tcW w:w="960" w:type="dxa"/>
            <w:tcBorders>
              <w:top w:val="nil"/>
              <w:left w:val="nil"/>
              <w:bottom w:val="single" w:color="auto" w:sz="4" w:space="0"/>
              <w:right w:val="single" w:color="auto" w:sz="4" w:space="0"/>
            </w:tcBorders>
          </w:tcPr>
          <w:p w14:paraId="515ABCA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2103980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200</w:t>
            </w:r>
          </w:p>
        </w:tc>
        <w:tc>
          <w:tcPr>
            <w:tcW w:w="1900" w:type="dxa"/>
            <w:tcBorders>
              <w:top w:val="nil"/>
              <w:left w:val="nil"/>
              <w:bottom w:val="single" w:color="auto" w:sz="4" w:space="0"/>
              <w:right w:val="single" w:color="auto" w:sz="4" w:space="0"/>
            </w:tcBorders>
          </w:tcPr>
          <w:p w14:paraId="21EB093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300.00 </w:t>
            </w:r>
          </w:p>
        </w:tc>
        <w:tc>
          <w:tcPr>
            <w:tcW w:w="1806" w:type="dxa"/>
            <w:tcBorders>
              <w:top w:val="nil"/>
              <w:left w:val="nil"/>
              <w:bottom w:val="single" w:color="auto" w:sz="4" w:space="0"/>
              <w:right w:val="single" w:color="auto" w:sz="8" w:space="0"/>
            </w:tcBorders>
          </w:tcPr>
          <w:p w14:paraId="50CDA5A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60,000.00 </w:t>
            </w:r>
          </w:p>
        </w:tc>
      </w:tr>
      <w:tr w14:paraId="0844F24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2A1857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98AA0D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64A2EC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6F06E3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0C208F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EDF517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531BDD1">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580EB87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w:t>
            </w:r>
          </w:p>
        </w:tc>
        <w:tc>
          <w:tcPr>
            <w:tcW w:w="3144" w:type="dxa"/>
            <w:tcBorders>
              <w:top w:val="nil"/>
              <w:left w:val="nil"/>
              <w:bottom w:val="single" w:color="auto" w:sz="4" w:space="0"/>
              <w:right w:val="single" w:color="auto" w:sz="4" w:space="0"/>
            </w:tcBorders>
          </w:tcPr>
          <w:p w14:paraId="47C6F1E3">
            <w:pPr>
              <w:spacing w:line="240" w:lineRule="auto"/>
              <w:rPr>
                <w:rFonts w:ascii="Times New Roman" w:hAnsi="Times New Roman" w:eastAsia="Times New Roman"/>
                <w:sz w:val="16"/>
                <w:szCs w:val="16"/>
              </w:rPr>
            </w:pPr>
            <w:r>
              <w:rPr>
                <w:rFonts w:ascii="Times New Roman" w:hAnsi="Times New Roman" w:eastAsia="Times New Roman"/>
                <w:sz w:val="16"/>
                <w:szCs w:val="16"/>
              </w:rPr>
              <w:t>Cut down trees, grub up roots and burn debris. Girth n.e. 1.2m (Provisional).</w:t>
            </w:r>
          </w:p>
        </w:tc>
        <w:tc>
          <w:tcPr>
            <w:tcW w:w="960" w:type="dxa"/>
            <w:tcBorders>
              <w:top w:val="nil"/>
              <w:left w:val="nil"/>
              <w:bottom w:val="single" w:color="auto" w:sz="4" w:space="0"/>
              <w:right w:val="single" w:color="auto" w:sz="4" w:space="0"/>
            </w:tcBorders>
          </w:tcPr>
          <w:p w14:paraId="363A70B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7B0257B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w:t>
            </w:r>
          </w:p>
        </w:tc>
        <w:tc>
          <w:tcPr>
            <w:tcW w:w="1900" w:type="dxa"/>
            <w:tcBorders>
              <w:top w:val="nil"/>
              <w:left w:val="nil"/>
              <w:bottom w:val="single" w:color="auto" w:sz="4" w:space="0"/>
              <w:right w:val="single" w:color="auto" w:sz="4" w:space="0"/>
            </w:tcBorders>
          </w:tcPr>
          <w:p w14:paraId="23EB2B3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4,500.00 </w:t>
            </w:r>
          </w:p>
        </w:tc>
        <w:tc>
          <w:tcPr>
            <w:tcW w:w="1806" w:type="dxa"/>
            <w:tcBorders>
              <w:top w:val="nil"/>
              <w:left w:val="nil"/>
              <w:bottom w:val="single" w:color="auto" w:sz="4" w:space="0"/>
              <w:right w:val="single" w:color="auto" w:sz="8" w:space="0"/>
            </w:tcBorders>
          </w:tcPr>
          <w:p w14:paraId="0FE6D2C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4,500.00 </w:t>
            </w:r>
          </w:p>
        </w:tc>
      </w:tr>
      <w:tr w14:paraId="68A07B6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04BCF6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75F3E2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BE186A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5F7034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046132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B5AE21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76435AB">
        <w:tblPrEx>
          <w:tblCellMar>
            <w:top w:w="0" w:type="dxa"/>
            <w:left w:w="108" w:type="dxa"/>
            <w:bottom w:w="0" w:type="dxa"/>
            <w:right w:w="108" w:type="dxa"/>
          </w:tblCellMar>
        </w:tblPrEx>
        <w:trPr>
          <w:trHeight w:val="2040" w:hRule="atLeast"/>
        </w:trPr>
        <w:tc>
          <w:tcPr>
            <w:tcW w:w="576" w:type="dxa"/>
            <w:tcBorders>
              <w:top w:val="nil"/>
              <w:left w:val="single" w:color="auto" w:sz="8" w:space="0"/>
              <w:bottom w:val="single" w:color="auto" w:sz="4" w:space="0"/>
              <w:right w:val="single" w:color="auto" w:sz="4" w:space="0"/>
            </w:tcBorders>
          </w:tcPr>
          <w:p w14:paraId="6FAAD96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1.3</w:t>
            </w:r>
          </w:p>
        </w:tc>
        <w:tc>
          <w:tcPr>
            <w:tcW w:w="3144" w:type="dxa"/>
            <w:tcBorders>
              <w:top w:val="nil"/>
              <w:left w:val="nil"/>
              <w:bottom w:val="single" w:color="auto" w:sz="4" w:space="0"/>
              <w:right w:val="single" w:color="auto" w:sz="4" w:space="0"/>
            </w:tcBorders>
          </w:tcPr>
          <w:p w14:paraId="086282EF">
            <w:pPr>
              <w:spacing w:line="240" w:lineRule="auto"/>
              <w:rPr>
                <w:rFonts w:ascii="Times New Roman" w:hAnsi="Times New Roman" w:eastAsia="Times New Roman"/>
                <w:sz w:val="16"/>
                <w:szCs w:val="16"/>
              </w:rPr>
            </w:pPr>
            <w:r>
              <w:rPr>
                <w:rFonts w:ascii="Times New Roman" w:hAnsi="Times New Roman" w:eastAsia="Times New Roman"/>
                <w:sz w:val="16"/>
                <w:szCs w:val="16"/>
              </w:rPr>
              <w:t>Excavate over site for buildings, roads, etc.average 150mm deep to remove vegetable soil and stack part of material for use as and where directed by the Engineer, cart away surplus to tips.</w:t>
            </w:r>
          </w:p>
        </w:tc>
        <w:tc>
          <w:tcPr>
            <w:tcW w:w="960" w:type="dxa"/>
            <w:tcBorders>
              <w:top w:val="nil"/>
              <w:left w:val="nil"/>
              <w:bottom w:val="single" w:color="auto" w:sz="4" w:space="0"/>
              <w:right w:val="single" w:color="auto" w:sz="4" w:space="0"/>
            </w:tcBorders>
          </w:tcPr>
          <w:p w14:paraId="4645C7E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7E12511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200</w:t>
            </w:r>
          </w:p>
        </w:tc>
        <w:tc>
          <w:tcPr>
            <w:tcW w:w="1900" w:type="dxa"/>
            <w:tcBorders>
              <w:top w:val="nil"/>
              <w:left w:val="nil"/>
              <w:bottom w:val="single" w:color="auto" w:sz="4" w:space="0"/>
              <w:right w:val="single" w:color="auto" w:sz="4" w:space="0"/>
            </w:tcBorders>
          </w:tcPr>
          <w:p w14:paraId="1FBDC25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450.00 </w:t>
            </w:r>
          </w:p>
        </w:tc>
        <w:tc>
          <w:tcPr>
            <w:tcW w:w="1806" w:type="dxa"/>
            <w:tcBorders>
              <w:top w:val="nil"/>
              <w:left w:val="nil"/>
              <w:bottom w:val="single" w:color="auto" w:sz="4" w:space="0"/>
              <w:right w:val="single" w:color="auto" w:sz="8" w:space="0"/>
            </w:tcBorders>
          </w:tcPr>
          <w:p w14:paraId="4DD5352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90,000.00 </w:t>
            </w:r>
          </w:p>
        </w:tc>
      </w:tr>
      <w:tr w14:paraId="02C61A1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A6B8C3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AEE91B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D59DA4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B1693F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C36D52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E9C070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779B35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4E3C4F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1070A33">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EXCAVATION</w:t>
            </w:r>
          </w:p>
        </w:tc>
        <w:tc>
          <w:tcPr>
            <w:tcW w:w="960" w:type="dxa"/>
            <w:tcBorders>
              <w:top w:val="nil"/>
              <w:left w:val="nil"/>
              <w:bottom w:val="single" w:color="auto" w:sz="4" w:space="0"/>
              <w:right w:val="single" w:color="auto" w:sz="4" w:space="0"/>
            </w:tcBorders>
          </w:tcPr>
          <w:p w14:paraId="761F1D4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2B3512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43CF5F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1B4284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073F420">
        <w:tblPrEx>
          <w:tblCellMar>
            <w:top w:w="0" w:type="dxa"/>
            <w:left w:w="108" w:type="dxa"/>
            <w:bottom w:w="0" w:type="dxa"/>
            <w:right w:w="108" w:type="dxa"/>
          </w:tblCellMar>
        </w:tblPrEx>
        <w:trPr>
          <w:trHeight w:val="2040" w:hRule="atLeast"/>
        </w:trPr>
        <w:tc>
          <w:tcPr>
            <w:tcW w:w="576" w:type="dxa"/>
            <w:tcBorders>
              <w:top w:val="nil"/>
              <w:left w:val="single" w:color="auto" w:sz="8" w:space="0"/>
              <w:bottom w:val="single" w:color="auto" w:sz="4" w:space="0"/>
              <w:right w:val="single" w:color="auto" w:sz="4" w:space="0"/>
            </w:tcBorders>
          </w:tcPr>
          <w:p w14:paraId="52E2B78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EA7671F">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The rates shalll include for all strutting, shuttering, stabilising the excavation faces, and keeping the excavation free of water by pumping, bailing or other means.</w:t>
            </w:r>
          </w:p>
        </w:tc>
        <w:tc>
          <w:tcPr>
            <w:tcW w:w="960" w:type="dxa"/>
            <w:tcBorders>
              <w:top w:val="nil"/>
              <w:left w:val="nil"/>
              <w:bottom w:val="single" w:color="auto" w:sz="4" w:space="0"/>
              <w:right w:val="single" w:color="auto" w:sz="4" w:space="0"/>
            </w:tcBorders>
          </w:tcPr>
          <w:p w14:paraId="572BE92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A9B5A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4F72CB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97B0B7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8F8503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B69614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4C642C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4FC9F8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A81437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C06912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2FAC22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3664D7C">
        <w:tblPrEx>
          <w:tblCellMar>
            <w:top w:w="0" w:type="dxa"/>
            <w:left w:w="108" w:type="dxa"/>
            <w:bottom w:w="0" w:type="dxa"/>
            <w:right w:w="108" w:type="dxa"/>
          </w:tblCellMar>
        </w:tblPrEx>
        <w:trPr>
          <w:trHeight w:val="2040" w:hRule="atLeast"/>
        </w:trPr>
        <w:tc>
          <w:tcPr>
            <w:tcW w:w="576" w:type="dxa"/>
            <w:tcBorders>
              <w:top w:val="nil"/>
              <w:left w:val="single" w:color="auto" w:sz="8" w:space="0"/>
              <w:bottom w:val="single" w:color="auto" w:sz="4" w:space="0"/>
              <w:right w:val="single" w:color="auto" w:sz="4" w:space="0"/>
            </w:tcBorders>
          </w:tcPr>
          <w:p w14:paraId="692AA20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w:t>
            </w:r>
          </w:p>
        </w:tc>
        <w:tc>
          <w:tcPr>
            <w:tcW w:w="3144" w:type="dxa"/>
            <w:tcBorders>
              <w:top w:val="nil"/>
              <w:left w:val="nil"/>
              <w:bottom w:val="single" w:color="auto" w:sz="4" w:space="0"/>
              <w:right w:val="single" w:color="auto" w:sz="4" w:space="0"/>
            </w:tcBorders>
          </w:tcPr>
          <w:p w14:paraId="2396C22F">
            <w:pPr>
              <w:spacing w:line="240" w:lineRule="auto"/>
              <w:rPr>
                <w:rFonts w:ascii="Times New Roman" w:hAnsi="Times New Roman" w:eastAsia="Times New Roman"/>
                <w:sz w:val="16"/>
                <w:szCs w:val="16"/>
              </w:rPr>
            </w:pPr>
            <w:r>
              <w:rPr>
                <w:rFonts w:ascii="Times New Roman" w:hAnsi="Times New Roman" w:eastAsia="Times New Roman"/>
                <w:sz w:val="16"/>
                <w:szCs w:val="16"/>
              </w:rPr>
              <w:t>Excavate below stripped level to formation level in common material, part backfill after construction and remainder, cart away to tips or use as fill on site, all as directed by the Engineer. Maximum depth n.e. 1.0 m</w:t>
            </w:r>
          </w:p>
        </w:tc>
        <w:tc>
          <w:tcPr>
            <w:tcW w:w="960" w:type="dxa"/>
            <w:tcBorders>
              <w:top w:val="nil"/>
              <w:left w:val="nil"/>
              <w:bottom w:val="single" w:color="auto" w:sz="4" w:space="0"/>
              <w:right w:val="single" w:color="auto" w:sz="4" w:space="0"/>
            </w:tcBorders>
          </w:tcPr>
          <w:p w14:paraId="69A43E2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5CF1E13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40</w:t>
            </w:r>
          </w:p>
        </w:tc>
        <w:tc>
          <w:tcPr>
            <w:tcW w:w="1900" w:type="dxa"/>
            <w:tcBorders>
              <w:top w:val="nil"/>
              <w:left w:val="nil"/>
              <w:bottom w:val="single" w:color="auto" w:sz="4" w:space="0"/>
              <w:right w:val="single" w:color="auto" w:sz="4" w:space="0"/>
            </w:tcBorders>
          </w:tcPr>
          <w:p w14:paraId="4659126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 </w:t>
            </w:r>
          </w:p>
        </w:tc>
        <w:tc>
          <w:tcPr>
            <w:tcW w:w="1806" w:type="dxa"/>
            <w:tcBorders>
              <w:top w:val="nil"/>
              <w:left w:val="nil"/>
              <w:bottom w:val="single" w:color="auto" w:sz="4" w:space="0"/>
              <w:right w:val="single" w:color="auto" w:sz="8" w:space="0"/>
            </w:tcBorders>
          </w:tcPr>
          <w:p w14:paraId="6222FD8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40,000.00 </w:t>
            </w:r>
          </w:p>
        </w:tc>
      </w:tr>
      <w:tr w14:paraId="2E3A7C6F">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6B7758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72469A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AF6DD1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B8C09D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661E16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4103E7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D8842EC">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14C4703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w:t>
            </w:r>
          </w:p>
        </w:tc>
        <w:tc>
          <w:tcPr>
            <w:tcW w:w="3144" w:type="dxa"/>
            <w:tcBorders>
              <w:top w:val="nil"/>
              <w:left w:val="nil"/>
              <w:bottom w:val="single" w:color="auto" w:sz="4" w:space="0"/>
              <w:right w:val="single" w:color="auto" w:sz="4" w:space="0"/>
            </w:tcBorders>
          </w:tcPr>
          <w:p w14:paraId="4F10AE50">
            <w:pPr>
              <w:spacing w:line="240" w:lineRule="auto"/>
              <w:rPr>
                <w:rFonts w:ascii="Times New Roman" w:hAnsi="Times New Roman" w:eastAsia="Times New Roman"/>
                <w:sz w:val="16"/>
                <w:szCs w:val="16"/>
              </w:rPr>
            </w:pPr>
            <w:r>
              <w:rPr>
                <w:rFonts w:ascii="Times New Roman" w:hAnsi="Times New Roman" w:eastAsia="Times New Roman"/>
                <w:sz w:val="16"/>
                <w:szCs w:val="16"/>
              </w:rPr>
              <w:t>-Ditto- but maximum depth 1.0 m to 2.0 m</w:t>
            </w:r>
          </w:p>
        </w:tc>
        <w:tc>
          <w:tcPr>
            <w:tcW w:w="960" w:type="dxa"/>
            <w:tcBorders>
              <w:top w:val="nil"/>
              <w:left w:val="nil"/>
              <w:bottom w:val="single" w:color="auto" w:sz="4" w:space="0"/>
              <w:right w:val="single" w:color="auto" w:sz="4" w:space="0"/>
            </w:tcBorders>
          </w:tcPr>
          <w:p w14:paraId="4DFC1AD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5B9E738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20</w:t>
            </w:r>
          </w:p>
        </w:tc>
        <w:tc>
          <w:tcPr>
            <w:tcW w:w="1900" w:type="dxa"/>
            <w:tcBorders>
              <w:top w:val="nil"/>
              <w:left w:val="nil"/>
              <w:bottom w:val="single" w:color="auto" w:sz="4" w:space="0"/>
              <w:right w:val="single" w:color="auto" w:sz="4" w:space="0"/>
            </w:tcBorders>
          </w:tcPr>
          <w:p w14:paraId="68C328E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 </w:t>
            </w:r>
          </w:p>
        </w:tc>
        <w:tc>
          <w:tcPr>
            <w:tcW w:w="1806" w:type="dxa"/>
            <w:tcBorders>
              <w:top w:val="nil"/>
              <w:left w:val="nil"/>
              <w:bottom w:val="single" w:color="auto" w:sz="4" w:space="0"/>
              <w:right w:val="single" w:color="auto" w:sz="8" w:space="0"/>
            </w:tcBorders>
          </w:tcPr>
          <w:p w14:paraId="220539D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20,000.00 </w:t>
            </w:r>
          </w:p>
        </w:tc>
      </w:tr>
      <w:tr w14:paraId="34A8FAC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F7C277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902978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37C290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D3FC01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1B959E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EBA85B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3B84218">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51A86AD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517CB2B">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Extra Over Excavation in any Position For:- (Provisional)</w:t>
            </w:r>
          </w:p>
        </w:tc>
        <w:tc>
          <w:tcPr>
            <w:tcW w:w="960" w:type="dxa"/>
            <w:tcBorders>
              <w:top w:val="nil"/>
              <w:left w:val="nil"/>
              <w:bottom w:val="single" w:color="auto" w:sz="4" w:space="0"/>
              <w:right w:val="single" w:color="auto" w:sz="4" w:space="0"/>
            </w:tcBorders>
          </w:tcPr>
          <w:p w14:paraId="3CD9FD4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1D6394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26114C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1667C3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AD5D091">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ECC4CB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EA7D29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746909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926EC3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540EC9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6C2662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341D394">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07AF21D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1.6</w:t>
            </w:r>
          </w:p>
        </w:tc>
        <w:tc>
          <w:tcPr>
            <w:tcW w:w="3144" w:type="dxa"/>
            <w:tcBorders>
              <w:top w:val="nil"/>
              <w:left w:val="nil"/>
              <w:bottom w:val="single" w:color="auto" w:sz="4" w:space="0"/>
              <w:right w:val="single" w:color="auto" w:sz="4" w:space="0"/>
            </w:tcBorders>
          </w:tcPr>
          <w:p w14:paraId="64B13247">
            <w:pPr>
              <w:spacing w:line="240" w:lineRule="auto"/>
              <w:rPr>
                <w:rFonts w:ascii="Times New Roman" w:hAnsi="Times New Roman" w:eastAsia="Times New Roman"/>
                <w:sz w:val="16"/>
                <w:szCs w:val="16"/>
              </w:rPr>
            </w:pPr>
            <w:r>
              <w:rPr>
                <w:rFonts w:ascii="Times New Roman" w:hAnsi="Times New Roman" w:eastAsia="Times New Roman"/>
                <w:sz w:val="16"/>
                <w:szCs w:val="16"/>
              </w:rPr>
              <w:t>Excavating in rock Class "A"</w:t>
            </w:r>
          </w:p>
        </w:tc>
        <w:tc>
          <w:tcPr>
            <w:tcW w:w="960" w:type="dxa"/>
            <w:tcBorders>
              <w:top w:val="nil"/>
              <w:left w:val="nil"/>
              <w:bottom w:val="single" w:color="auto" w:sz="4" w:space="0"/>
              <w:right w:val="single" w:color="auto" w:sz="4" w:space="0"/>
            </w:tcBorders>
          </w:tcPr>
          <w:p w14:paraId="7CE2C87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2330CAE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w:t>
            </w:r>
          </w:p>
        </w:tc>
        <w:tc>
          <w:tcPr>
            <w:tcW w:w="1900" w:type="dxa"/>
            <w:tcBorders>
              <w:top w:val="nil"/>
              <w:left w:val="nil"/>
              <w:bottom w:val="single" w:color="auto" w:sz="4" w:space="0"/>
              <w:right w:val="single" w:color="auto" w:sz="4" w:space="0"/>
            </w:tcBorders>
          </w:tcPr>
          <w:p w14:paraId="21E3F12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3,500.00 </w:t>
            </w:r>
          </w:p>
        </w:tc>
        <w:tc>
          <w:tcPr>
            <w:tcW w:w="1806" w:type="dxa"/>
            <w:tcBorders>
              <w:top w:val="nil"/>
              <w:left w:val="nil"/>
              <w:bottom w:val="single" w:color="auto" w:sz="4" w:space="0"/>
              <w:right w:val="single" w:color="auto" w:sz="8" w:space="0"/>
            </w:tcBorders>
          </w:tcPr>
          <w:p w14:paraId="40A84A9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52,500.00 </w:t>
            </w:r>
          </w:p>
        </w:tc>
      </w:tr>
      <w:tr w14:paraId="31EE94B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F5E970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AD3CAB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A14C80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A4A0CC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5D8370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2C31AF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98F3A68">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28CC8E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1.7</w:t>
            </w:r>
          </w:p>
        </w:tc>
        <w:tc>
          <w:tcPr>
            <w:tcW w:w="3144" w:type="dxa"/>
            <w:tcBorders>
              <w:top w:val="nil"/>
              <w:left w:val="nil"/>
              <w:bottom w:val="single" w:color="auto" w:sz="4" w:space="0"/>
              <w:right w:val="single" w:color="auto" w:sz="4" w:space="0"/>
            </w:tcBorders>
          </w:tcPr>
          <w:p w14:paraId="4A7D9997">
            <w:pPr>
              <w:spacing w:line="240" w:lineRule="auto"/>
              <w:rPr>
                <w:rFonts w:ascii="Times New Roman" w:hAnsi="Times New Roman" w:eastAsia="Times New Roman"/>
                <w:sz w:val="16"/>
                <w:szCs w:val="16"/>
              </w:rPr>
            </w:pPr>
            <w:r>
              <w:rPr>
                <w:rFonts w:ascii="Times New Roman" w:hAnsi="Times New Roman" w:eastAsia="Times New Roman"/>
                <w:sz w:val="16"/>
                <w:szCs w:val="16"/>
              </w:rPr>
              <w:t>Excavating in rock Class "B"</w:t>
            </w:r>
          </w:p>
        </w:tc>
        <w:tc>
          <w:tcPr>
            <w:tcW w:w="960" w:type="dxa"/>
            <w:tcBorders>
              <w:top w:val="nil"/>
              <w:left w:val="nil"/>
              <w:bottom w:val="single" w:color="auto" w:sz="4" w:space="0"/>
              <w:right w:val="single" w:color="auto" w:sz="4" w:space="0"/>
            </w:tcBorders>
          </w:tcPr>
          <w:p w14:paraId="4F7A049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170F847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9</w:t>
            </w:r>
          </w:p>
        </w:tc>
        <w:tc>
          <w:tcPr>
            <w:tcW w:w="1900" w:type="dxa"/>
            <w:tcBorders>
              <w:top w:val="nil"/>
              <w:left w:val="nil"/>
              <w:bottom w:val="single" w:color="auto" w:sz="4" w:space="0"/>
              <w:right w:val="single" w:color="auto" w:sz="4" w:space="0"/>
            </w:tcBorders>
          </w:tcPr>
          <w:p w14:paraId="495A11D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3,500.00 </w:t>
            </w:r>
          </w:p>
        </w:tc>
        <w:tc>
          <w:tcPr>
            <w:tcW w:w="1806" w:type="dxa"/>
            <w:tcBorders>
              <w:top w:val="nil"/>
              <w:left w:val="nil"/>
              <w:bottom w:val="single" w:color="auto" w:sz="4" w:space="0"/>
              <w:right w:val="single" w:color="auto" w:sz="8" w:space="0"/>
            </w:tcBorders>
          </w:tcPr>
          <w:p w14:paraId="1F6A3C1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31,500.00 </w:t>
            </w:r>
          </w:p>
        </w:tc>
      </w:tr>
      <w:tr w14:paraId="7E40950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6C086A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2FA19C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FBB6C6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439F94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F1D784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89D1BC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9C657CD">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0EA1728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1.8</w:t>
            </w:r>
          </w:p>
        </w:tc>
        <w:tc>
          <w:tcPr>
            <w:tcW w:w="3144" w:type="dxa"/>
            <w:tcBorders>
              <w:top w:val="nil"/>
              <w:left w:val="nil"/>
              <w:bottom w:val="single" w:color="auto" w:sz="4" w:space="0"/>
              <w:right w:val="single" w:color="auto" w:sz="4" w:space="0"/>
            </w:tcBorders>
          </w:tcPr>
          <w:p w14:paraId="62B26D3E">
            <w:pPr>
              <w:spacing w:line="240" w:lineRule="auto"/>
              <w:rPr>
                <w:rFonts w:ascii="Times New Roman" w:hAnsi="Times New Roman" w:eastAsia="Times New Roman"/>
                <w:sz w:val="16"/>
                <w:szCs w:val="16"/>
              </w:rPr>
            </w:pPr>
            <w:r>
              <w:rPr>
                <w:rFonts w:ascii="Times New Roman" w:hAnsi="Times New Roman" w:eastAsia="Times New Roman"/>
                <w:sz w:val="16"/>
                <w:szCs w:val="16"/>
              </w:rPr>
              <w:t>Excavating in rock Class "C"</w:t>
            </w:r>
          </w:p>
        </w:tc>
        <w:tc>
          <w:tcPr>
            <w:tcW w:w="960" w:type="dxa"/>
            <w:tcBorders>
              <w:top w:val="nil"/>
              <w:left w:val="nil"/>
              <w:bottom w:val="single" w:color="auto" w:sz="4" w:space="0"/>
              <w:right w:val="single" w:color="auto" w:sz="4" w:space="0"/>
            </w:tcBorders>
          </w:tcPr>
          <w:p w14:paraId="7215CE1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498F6D9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w:t>
            </w:r>
          </w:p>
        </w:tc>
        <w:tc>
          <w:tcPr>
            <w:tcW w:w="1900" w:type="dxa"/>
            <w:tcBorders>
              <w:top w:val="nil"/>
              <w:left w:val="nil"/>
              <w:bottom w:val="single" w:color="auto" w:sz="4" w:space="0"/>
              <w:right w:val="single" w:color="auto" w:sz="4" w:space="0"/>
            </w:tcBorders>
          </w:tcPr>
          <w:p w14:paraId="1E6D219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3,500.00 </w:t>
            </w:r>
          </w:p>
        </w:tc>
        <w:tc>
          <w:tcPr>
            <w:tcW w:w="1806" w:type="dxa"/>
            <w:tcBorders>
              <w:top w:val="nil"/>
              <w:left w:val="nil"/>
              <w:bottom w:val="single" w:color="auto" w:sz="4" w:space="0"/>
              <w:right w:val="single" w:color="auto" w:sz="8" w:space="0"/>
            </w:tcBorders>
          </w:tcPr>
          <w:p w14:paraId="5BAE538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21,000.00 </w:t>
            </w:r>
          </w:p>
        </w:tc>
      </w:tr>
      <w:tr w14:paraId="7F5EAB0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923287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4D3502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9B64DC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1D340F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070CE0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29CAB2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C7EE30A">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6DD3ACF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C9F6AF3">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Approved Selected Filling as Described:-</w:t>
            </w:r>
          </w:p>
        </w:tc>
        <w:tc>
          <w:tcPr>
            <w:tcW w:w="960" w:type="dxa"/>
            <w:tcBorders>
              <w:top w:val="nil"/>
              <w:left w:val="nil"/>
              <w:bottom w:val="single" w:color="auto" w:sz="4" w:space="0"/>
              <w:right w:val="single" w:color="auto" w:sz="4" w:space="0"/>
            </w:tcBorders>
          </w:tcPr>
          <w:p w14:paraId="3AD6E9C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1D3811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A0C044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A0C149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A230A7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AD8A59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4564D9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DEBF79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08561B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802CD3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E86F2F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100507F">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4D54C43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1.9</w:t>
            </w:r>
          </w:p>
        </w:tc>
        <w:tc>
          <w:tcPr>
            <w:tcW w:w="3144" w:type="dxa"/>
            <w:tcBorders>
              <w:top w:val="nil"/>
              <w:left w:val="nil"/>
              <w:bottom w:val="single" w:color="auto" w:sz="4" w:space="0"/>
              <w:right w:val="single" w:color="auto" w:sz="4" w:space="0"/>
            </w:tcBorders>
          </w:tcPr>
          <w:p w14:paraId="47F7E458">
            <w:pPr>
              <w:spacing w:line="240" w:lineRule="auto"/>
              <w:rPr>
                <w:rFonts w:ascii="Times New Roman" w:hAnsi="Times New Roman" w:eastAsia="Times New Roman"/>
                <w:sz w:val="16"/>
                <w:szCs w:val="16"/>
              </w:rPr>
            </w:pPr>
            <w:r>
              <w:rPr>
                <w:rFonts w:ascii="Times New Roman" w:hAnsi="Times New Roman" w:eastAsia="Times New Roman"/>
                <w:sz w:val="16"/>
                <w:szCs w:val="16"/>
              </w:rPr>
              <w:t>Fill and ram selected excavated materials around foundations and buildings.</w:t>
            </w:r>
          </w:p>
        </w:tc>
        <w:tc>
          <w:tcPr>
            <w:tcW w:w="960" w:type="dxa"/>
            <w:tcBorders>
              <w:top w:val="nil"/>
              <w:left w:val="nil"/>
              <w:bottom w:val="single" w:color="auto" w:sz="4" w:space="0"/>
              <w:right w:val="single" w:color="auto" w:sz="4" w:space="0"/>
            </w:tcBorders>
          </w:tcPr>
          <w:p w14:paraId="0BFFDB9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7196E3C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40</w:t>
            </w:r>
          </w:p>
        </w:tc>
        <w:tc>
          <w:tcPr>
            <w:tcW w:w="1900" w:type="dxa"/>
            <w:tcBorders>
              <w:top w:val="nil"/>
              <w:left w:val="nil"/>
              <w:bottom w:val="single" w:color="auto" w:sz="4" w:space="0"/>
              <w:right w:val="single" w:color="auto" w:sz="4" w:space="0"/>
            </w:tcBorders>
          </w:tcPr>
          <w:p w14:paraId="44AC1EA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2,500.00 </w:t>
            </w:r>
          </w:p>
        </w:tc>
        <w:tc>
          <w:tcPr>
            <w:tcW w:w="1806" w:type="dxa"/>
            <w:tcBorders>
              <w:top w:val="nil"/>
              <w:left w:val="nil"/>
              <w:bottom w:val="single" w:color="auto" w:sz="4" w:space="0"/>
              <w:right w:val="single" w:color="auto" w:sz="8" w:space="0"/>
            </w:tcBorders>
          </w:tcPr>
          <w:p w14:paraId="1A21E2A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100,000.00 </w:t>
            </w:r>
          </w:p>
        </w:tc>
      </w:tr>
      <w:tr w14:paraId="25660D6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41CE45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370AD0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4AAD41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896409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73854A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714008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1CB13C0">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571DA6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794D3A7">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Approved Hardcore Filling as Described:-</w:t>
            </w:r>
          </w:p>
        </w:tc>
        <w:tc>
          <w:tcPr>
            <w:tcW w:w="960" w:type="dxa"/>
            <w:tcBorders>
              <w:top w:val="nil"/>
              <w:left w:val="nil"/>
              <w:bottom w:val="single" w:color="auto" w:sz="4" w:space="0"/>
              <w:right w:val="single" w:color="auto" w:sz="4" w:space="0"/>
            </w:tcBorders>
          </w:tcPr>
          <w:p w14:paraId="1388649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287D4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FE32AE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8F172B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0879F4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6C17FD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8526C2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D0C7A4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2BBA26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35119A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951571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78DC967">
        <w:tblPrEx>
          <w:tblCellMar>
            <w:top w:w="0" w:type="dxa"/>
            <w:left w:w="108" w:type="dxa"/>
            <w:bottom w:w="0" w:type="dxa"/>
            <w:right w:w="108" w:type="dxa"/>
          </w:tblCellMar>
        </w:tblPrEx>
        <w:trPr>
          <w:trHeight w:val="1530" w:hRule="atLeast"/>
        </w:trPr>
        <w:tc>
          <w:tcPr>
            <w:tcW w:w="576" w:type="dxa"/>
            <w:tcBorders>
              <w:top w:val="nil"/>
              <w:left w:val="single" w:color="auto" w:sz="8" w:space="0"/>
              <w:bottom w:val="single" w:color="auto" w:sz="4" w:space="0"/>
              <w:right w:val="single" w:color="auto" w:sz="4" w:space="0"/>
            </w:tcBorders>
          </w:tcPr>
          <w:p w14:paraId="6DF6DD1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1.10</w:t>
            </w:r>
          </w:p>
        </w:tc>
        <w:tc>
          <w:tcPr>
            <w:tcW w:w="3144" w:type="dxa"/>
            <w:tcBorders>
              <w:top w:val="nil"/>
              <w:left w:val="nil"/>
              <w:bottom w:val="single" w:color="auto" w:sz="4" w:space="0"/>
              <w:right w:val="single" w:color="auto" w:sz="4" w:space="0"/>
            </w:tcBorders>
          </w:tcPr>
          <w:p w14:paraId="328C4A7E">
            <w:pPr>
              <w:spacing w:line="240" w:lineRule="auto"/>
              <w:rPr>
                <w:rFonts w:ascii="Times New Roman" w:hAnsi="Times New Roman" w:eastAsia="Times New Roman"/>
                <w:sz w:val="16"/>
                <w:szCs w:val="16"/>
              </w:rPr>
            </w:pPr>
            <w:r>
              <w:rPr>
                <w:rFonts w:ascii="Times New Roman" w:hAnsi="Times New Roman" w:eastAsia="Times New Roman"/>
                <w:sz w:val="16"/>
                <w:szCs w:val="16"/>
              </w:rPr>
              <w:t>Provide and deposit approved imported hardcore in maximum 150mm thick layers in making up levels including achieving satisfactory compaction.</w:t>
            </w:r>
          </w:p>
        </w:tc>
        <w:tc>
          <w:tcPr>
            <w:tcW w:w="960" w:type="dxa"/>
            <w:tcBorders>
              <w:top w:val="nil"/>
              <w:left w:val="nil"/>
              <w:bottom w:val="single" w:color="auto" w:sz="4" w:space="0"/>
              <w:right w:val="single" w:color="auto" w:sz="4" w:space="0"/>
            </w:tcBorders>
          </w:tcPr>
          <w:p w14:paraId="4B129D5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2429E23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23</w:t>
            </w:r>
          </w:p>
        </w:tc>
        <w:tc>
          <w:tcPr>
            <w:tcW w:w="1900" w:type="dxa"/>
            <w:tcBorders>
              <w:top w:val="nil"/>
              <w:left w:val="nil"/>
              <w:bottom w:val="single" w:color="auto" w:sz="4" w:space="0"/>
              <w:right w:val="single" w:color="auto" w:sz="4" w:space="0"/>
            </w:tcBorders>
          </w:tcPr>
          <w:p w14:paraId="75D88E9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2,000.00 </w:t>
            </w:r>
          </w:p>
        </w:tc>
        <w:tc>
          <w:tcPr>
            <w:tcW w:w="1806" w:type="dxa"/>
            <w:tcBorders>
              <w:top w:val="nil"/>
              <w:left w:val="nil"/>
              <w:bottom w:val="single" w:color="auto" w:sz="4" w:space="0"/>
              <w:right w:val="single" w:color="auto" w:sz="8" w:space="0"/>
            </w:tcBorders>
          </w:tcPr>
          <w:p w14:paraId="0FE2B6D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46,000.00 </w:t>
            </w:r>
          </w:p>
        </w:tc>
      </w:tr>
      <w:tr w14:paraId="42B82CC6">
        <w:tblPrEx>
          <w:tblCellMar>
            <w:top w:w="0" w:type="dxa"/>
            <w:left w:w="108" w:type="dxa"/>
            <w:bottom w:w="0" w:type="dxa"/>
            <w:right w:w="108" w:type="dxa"/>
          </w:tblCellMar>
        </w:tblPrEx>
        <w:trPr>
          <w:trHeight w:val="300" w:hRule="atLeast"/>
        </w:trPr>
        <w:tc>
          <w:tcPr>
            <w:tcW w:w="576" w:type="dxa"/>
            <w:tcBorders>
              <w:top w:val="nil"/>
              <w:left w:val="single" w:color="auto" w:sz="8" w:space="0"/>
              <w:bottom w:val="nil"/>
              <w:right w:val="single" w:color="auto" w:sz="4" w:space="0"/>
            </w:tcBorders>
          </w:tcPr>
          <w:p w14:paraId="65741FB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nil"/>
              <w:right w:val="single" w:color="auto" w:sz="4" w:space="0"/>
            </w:tcBorders>
          </w:tcPr>
          <w:p w14:paraId="32F1FBF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nil"/>
              <w:right w:val="single" w:color="auto" w:sz="4" w:space="0"/>
            </w:tcBorders>
          </w:tcPr>
          <w:p w14:paraId="085BDA9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nil"/>
              <w:right w:val="single" w:color="auto" w:sz="4" w:space="0"/>
            </w:tcBorders>
          </w:tcPr>
          <w:p w14:paraId="46DDC4F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nil"/>
              <w:right w:val="single" w:color="auto" w:sz="4" w:space="0"/>
            </w:tcBorders>
          </w:tcPr>
          <w:p w14:paraId="44DA506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64C933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0750C1D">
        <w:tblPrEx>
          <w:tblCellMar>
            <w:top w:w="0" w:type="dxa"/>
            <w:left w:w="108" w:type="dxa"/>
            <w:bottom w:w="0" w:type="dxa"/>
            <w:right w:w="108" w:type="dxa"/>
          </w:tblCellMar>
        </w:tblPrEx>
        <w:trPr>
          <w:trHeight w:val="1530" w:hRule="atLeast"/>
        </w:trPr>
        <w:tc>
          <w:tcPr>
            <w:tcW w:w="576" w:type="dxa"/>
            <w:tcBorders>
              <w:top w:val="single" w:color="auto" w:sz="4" w:space="0"/>
              <w:left w:val="single" w:color="auto" w:sz="8" w:space="0"/>
              <w:bottom w:val="single" w:color="auto" w:sz="4" w:space="0"/>
              <w:right w:val="single" w:color="auto" w:sz="4" w:space="0"/>
            </w:tcBorders>
          </w:tcPr>
          <w:p w14:paraId="2E9A7D9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w:t>
            </w:r>
          </w:p>
        </w:tc>
        <w:tc>
          <w:tcPr>
            <w:tcW w:w="3144" w:type="dxa"/>
            <w:tcBorders>
              <w:top w:val="single" w:color="auto" w:sz="4" w:space="0"/>
              <w:left w:val="nil"/>
              <w:bottom w:val="single" w:color="auto" w:sz="4" w:space="0"/>
              <w:right w:val="single" w:color="auto" w:sz="4" w:space="0"/>
            </w:tcBorders>
          </w:tcPr>
          <w:p w14:paraId="77D03B7A">
            <w:pPr>
              <w:spacing w:line="240" w:lineRule="auto"/>
              <w:rPr>
                <w:rFonts w:ascii="Times New Roman" w:hAnsi="Times New Roman" w:eastAsia="Times New Roman"/>
                <w:sz w:val="16"/>
                <w:szCs w:val="16"/>
              </w:rPr>
            </w:pPr>
            <w:r>
              <w:rPr>
                <w:rFonts w:ascii="Times New Roman" w:hAnsi="Times New Roman" w:eastAsia="Times New Roman"/>
                <w:sz w:val="16"/>
                <w:szCs w:val="16"/>
              </w:rPr>
              <w:t>Provide, lay and level out fine crushed stone, sand or gravel blinding 50mm thick to surface of filling, including watering and rolling to achieve satisfactory compaction.</w:t>
            </w:r>
          </w:p>
        </w:tc>
        <w:tc>
          <w:tcPr>
            <w:tcW w:w="960" w:type="dxa"/>
            <w:tcBorders>
              <w:top w:val="single" w:color="auto" w:sz="4" w:space="0"/>
              <w:left w:val="nil"/>
              <w:bottom w:val="single" w:color="auto" w:sz="4" w:space="0"/>
              <w:right w:val="single" w:color="auto" w:sz="4" w:space="0"/>
            </w:tcBorders>
          </w:tcPr>
          <w:p w14:paraId="0A86B7A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single" w:color="auto" w:sz="4" w:space="0"/>
              <w:left w:val="nil"/>
              <w:bottom w:val="single" w:color="auto" w:sz="4" w:space="0"/>
              <w:right w:val="single" w:color="auto" w:sz="4" w:space="0"/>
            </w:tcBorders>
          </w:tcPr>
          <w:p w14:paraId="6D41212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150</w:t>
            </w:r>
          </w:p>
        </w:tc>
        <w:tc>
          <w:tcPr>
            <w:tcW w:w="1900" w:type="dxa"/>
            <w:tcBorders>
              <w:top w:val="single" w:color="auto" w:sz="4" w:space="0"/>
              <w:left w:val="nil"/>
              <w:bottom w:val="single" w:color="auto" w:sz="4" w:space="0"/>
              <w:right w:val="single" w:color="auto" w:sz="4" w:space="0"/>
            </w:tcBorders>
          </w:tcPr>
          <w:p w14:paraId="76A246B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 </w:t>
            </w:r>
          </w:p>
        </w:tc>
        <w:tc>
          <w:tcPr>
            <w:tcW w:w="1806" w:type="dxa"/>
            <w:tcBorders>
              <w:top w:val="nil"/>
              <w:left w:val="nil"/>
              <w:bottom w:val="single" w:color="auto" w:sz="4" w:space="0"/>
              <w:right w:val="single" w:color="auto" w:sz="8" w:space="0"/>
            </w:tcBorders>
          </w:tcPr>
          <w:p w14:paraId="4A808B8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150,000.00 </w:t>
            </w:r>
          </w:p>
        </w:tc>
      </w:tr>
      <w:tr w14:paraId="4444144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55E811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58C016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71FFF9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19D8F9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49A42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D00017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E59166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2CAEBE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DC86C96">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Disposal of Surplus Spoil:-</w:t>
            </w:r>
          </w:p>
        </w:tc>
        <w:tc>
          <w:tcPr>
            <w:tcW w:w="960" w:type="dxa"/>
            <w:tcBorders>
              <w:top w:val="nil"/>
              <w:left w:val="nil"/>
              <w:bottom w:val="single" w:color="auto" w:sz="4" w:space="0"/>
              <w:right w:val="single" w:color="auto" w:sz="4" w:space="0"/>
            </w:tcBorders>
          </w:tcPr>
          <w:p w14:paraId="4CFA796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0105D2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ED1865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71C93A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29EFB5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ABE4C9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18DBDA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5B0DC3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CFC5D0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889C0D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7B7D62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13E424C">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781D37C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1.12</w:t>
            </w:r>
          </w:p>
        </w:tc>
        <w:tc>
          <w:tcPr>
            <w:tcW w:w="3144" w:type="dxa"/>
            <w:tcBorders>
              <w:top w:val="nil"/>
              <w:left w:val="nil"/>
              <w:bottom w:val="single" w:color="auto" w:sz="4" w:space="0"/>
              <w:right w:val="single" w:color="auto" w:sz="4" w:space="0"/>
            </w:tcBorders>
          </w:tcPr>
          <w:p w14:paraId="13F0F0AF">
            <w:pPr>
              <w:spacing w:line="240" w:lineRule="auto"/>
              <w:rPr>
                <w:rFonts w:ascii="Times New Roman" w:hAnsi="Times New Roman" w:eastAsia="Times New Roman"/>
                <w:sz w:val="16"/>
                <w:szCs w:val="16"/>
              </w:rPr>
            </w:pPr>
            <w:r>
              <w:rPr>
                <w:rFonts w:ascii="Times New Roman" w:hAnsi="Times New Roman" w:eastAsia="Times New Roman"/>
                <w:sz w:val="16"/>
                <w:szCs w:val="16"/>
              </w:rPr>
              <w:t>Cart away surplus excavated materials to an approved dumping site.</w:t>
            </w:r>
          </w:p>
        </w:tc>
        <w:tc>
          <w:tcPr>
            <w:tcW w:w="960" w:type="dxa"/>
            <w:tcBorders>
              <w:top w:val="nil"/>
              <w:left w:val="nil"/>
              <w:bottom w:val="single" w:color="auto" w:sz="4" w:space="0"/>
              <w:right w:val="single" w:color="auto" w:sz="4" w:space="0"/>
            </w:tcBorders>
          </w:tcPr>
          <w:p w14:paraId="1D4E2FE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5B91ACC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20</w:t>
            </w:r>
          </w:p>
        </w:tc>
        <w:tc>
          <w:tcPr>
            <w:tcW w:w="1900" w:type="dxa"/>
            <w:tcBorders>
              <w:top w:val="nil"/>
              <w:left w:val="nil"/>
              <w:bottom w:val="single" w:color="auto" w:sz="4" w:space="0"/>
              <w:right w:val="single" w:color="auto" w:sz="4" w:space="0"/>
            </w:tcBorders>
          </w:tcPr>
          <w:p w14:paraId="7E9F318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850.00 </w:t>
            </w:r>
          </w:p>
        </w:tc>
        <w:tc>
          <w:tcPr>
            <w:tcW w:w="1806" w:type="dxa"/>
            <w:tcBorders>
              <w:top w:val="nil"/>
              <w:left w:val="nil"/>
              <w:bottom w:val="single" w:color="auto" w:sz="4" w:space="0"/>
              <w:right w:val="single" w:color="auto" w:sz="8" w:space="0"/>
            </w:tcBorders>
          </w:tcPr>
          <w:p w14:paraId="3C3BE7F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17,000.00 </w:t>
            </w:r>
          </w:p>
        </w:tc>
      </w:tr>
      <w:tr w14:paraId="7146F8E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C82427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C3C957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B3DCB1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CA536A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92E83D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88429D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18C0AD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AC8565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2A44084">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Anti-Termite Treatment</w:t>
            </w:r>
          </w:p>
        </w:tc>
        <w:tc>
          <w:tcPr>
            <w:tcW w:w="960" w:type="dxa"/>
            <w:tcBorders>
              <w:top w:val="nil"/>
              <w:left w:val="nil"/>
              <w:bottom w:val="single" w:color="auto" w:sz="4" w:space="0"/>
              <w:right w:val="single" w:color="auto" w:sz="4" w:space="0"/>
            </w:tcBorders>
          </w:tcPr>
          <w:p w14:paraId="724BA85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B853D9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199892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A2E695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DECE44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488CAF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EDE94E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C0287E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825898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319F8C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668CF7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90EFBE5">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33FE208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1.13</w:t>
            </w:r>
          </w:p>
        </w:tc>
        <w:tc>
          <w:tcPr>
            <w:tcW w:w="3144" w:type="dxa"/>
            <w:tcBorders>
              <w:top w:val="nil"/>
              <w:left w:val="nil"/>
              <w:bottom w:val="single" w:color="auto" w:sz="4" w:space="0"/>
              <w:right w:val="single" w:color="auto" w:sz="4" w:space="0"/>
            </w:tcBorders>
          </w:tcPr>
          <w:p w14:paraId="3733BA3C">
            <w:pPr>
              <w:spacing w:line="240" w:lineRule="auto"/>
              <w:rPr>
                <w:rFonts w:ascii="Times New Roman" w:hAnsi="Times New Roman" w:eastAsia="Times New Roman"/>
                <w:sz w:val="16"/>
                <w:szCs w:val="16"/>
              </w:rPr>
            </w:pPr>
            <w:r>
              <w:rPr>
                <w:rFonts w:ascii="Times New Roman" w:hAnsi="Times New Roman" w:eastAsia="Times New Roman"/>
                <w:sz w:val="16"/>
                <w:szCs w:val="16"/>
              </w:rPr>
              <w:t>Chemical anti-termite treatment to surface of filling with an approved insecticide.</w:t>
            </w:r>
          </w:p>
        </w:tc>
        <w:tc>
          <w:tcPr>
            <w:tcW w:w="960" w:type="dxa"/>
            <w:tcBorders>
              <w:top w:val="nil"/>
              <w:left w:val="nil"/>
              <w:bottom w:val="single" w:color="auto" w:sz="4" w:space="0"/>
              <w:right w:val="single" w:color="auto" w:sz="4" w:space="0"/>
            </w:tcBorders>
          </w:tcPr>
          <w:p w14:paraId="567C50A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7A302EF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150</w:t>
            </w:r>
          </w:p>
        </w:tc>
        <w:tc>
          <w:tcPr>
            <w:tcW w:w="1900" w:type="dxa"/>
            <w:tcBorders>
              <w:top w:val="nil"/>
              <w:left w:val="nil"/>
              <w:bottom w:val="single" w:color="auto" w:sz="4" w:space="0"/>
              <w:right w:val="single" w:color="auto" w:sz="4" w:space="0"/>
            </w:tcBorders>
          </w:tcPr>
          <w:p w14:paraId="2586174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 </w:t>
            </w:r>
          </w:p>
        </w:tc>
        <w:tc>
          <w:tcPr>
            <w:tcW w:w="1806" w:type="dxa"/>
            <w:tcBorders>
              <w:top w:val="nil"/>
              <w:left w:val="nil"/>
              <w:bottom w:val="single" w:color="auto" w:sz="4" w:space="0"/>
              <w:right w:val="single" w:color="auto" w:sz="8" w:space="0"/>
            </w:tcBorders>
          </w:tcPr>
          <w:p w14:paraId="2437504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150,000.00 </w:t>
            </w:r>
          </w:p>
        </w:tc>
      </w:tr>
      <w:tr w14:paraId="563EFCE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EE26D1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F7ED5C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FDD154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F853B2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53B072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48E682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03CB20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9792E7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8F8716F">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Damp-proof Membrane</w:t>
            </w:r>
          </w:p>
        </w:tc>
        <w:tc>
          <w:tcPr>
            <w:tcW w:w="960" w:type="dxa"/>
            <w:tcBorders>
              <w:top w:val="nil"/>
              <w:left w:val="nil"/>
              <w:bottom w:val="single" w:color="auto" w:sz="4" w:space="0"/>
              <w:right w:val="single" w:color="auto" w:sz="4" w:space="0"/>
            </w:tcBorders>
          </w:tcPr>
          <w:p w14:paraId="7E247FD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94A71F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802F69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4B9A00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E3DC3E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38600E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6DD28E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D78273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584A93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D5C8D2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29FF9C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79119EA">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229207F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1.14</w:t>
            </w:r>
          </w:p>
        </w:tc>
        <w:tc>
          <w:tcPr>
            <w:tcW w:w="3144" w:type="dxa"/>
            <w:tcBorders>
              <w:top w:val="nil"/>
              <w:left w:val="nil"/>
              <w:bottom w:val="single" w:color="auto" w:sz="4" w:space="0"/>
              <w:right w:val="single" w:color="auto" w:sz="4" w:space="0"/>
            </w:tcBorders>
          </w:tcPr>
          <w:p w14:paraId="5748FA87">
            <w:pPr>
              <w:spacing w:line="240" w:lineRule="auto"/>
              <w:rPr>
                <w:rFonts w:ascii="Times New Roman" w:hAnsi="Times New Roman" w:eastAsia="Times New Roman"/>
                <w:sz w:val="16"/>
                <w:szCs w:val="16"/>
              </w:rPr>
            </w:pPr>
            <w:r>
              <w:rPr>
                <w:rFonts w:ascii="Times New Roman" w:hAnsi="Times New Roman" w:eastAsia="Times New Roman"/>
                <w:sz w:val="16"/>
                <w:szCs w:val="16"/>
              </w:rPr>
              <w:t>500 Gauge polythene sheeting, laid over hardcore</w:t>
            </w:r>
          </w:p>
        </w:tc>
        <w:tc>
          <w:tcPr>
            <w:tcW w:w="960" w:type="dxa"/>
            <w:tcBorders>
              <w:top w:val="nil"/>
              <w:left w:val="nil"/>
              <w:bottom w:val="single" w:color="auto" w:sz="4" w:space="0"/>
              <w:right w:val="single" w:color="auto" w:sz="4" w:space="0"/>
            </w:tcBorders>
          </w:tcPr>
          <w:p w14:paraId="25BFFEC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519E348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150</w:t>
            </w:r>
          </w:p>
        </w:tc>
        <w:tc>
          <w:tcPr>
            <w:tcW w:w="1900" w:type="dxa"/>
            <w:tcBorders>
              <w:top w:val="nil"/>
              <w:left w:val="nil"/>
              <w:bottom w:val="single" w:color="auto" w:sz="4" w:space="0"/>
              <w:right w:val="single" w:color="auto" w:sz="4" w:space="0"/>
            </w:tcBorders>
          </w:tcPr>
          <w:p w14:paraId="3D51A17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 </w:t>
            </w:r>
          </w:p>
        </w:tc>
        <w:tc>
          <w:tcPr>
            <w:tcW w:w="1806" w:type="dxa"/>
            <w:tcBorders>
              <w:top w:val="nil"/>
              <w:left w:val="nil"/>
              <w:bottom w:val="single" w:color="auto" w:sz="4" w:space="0"/>
              <w:right w:val="single" w:color="auto" w:sz="8" w:space="0"/>
            </w:tcBorders>
          </w:tcPr>
          <w:p w14:paraId="7FAB3EB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150,000.00 </w:t>
            </w:r>
          </w:p>
        </w:tc>
      </w:tr>
      <w:tr w14:paraId="77516C8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49C0B8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173655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3032A3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B76A27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143BB6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E79F24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9B9B1F1">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9BD813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612CC5C">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Concrete Work:</w:t>
            </w:r>
          </w:p>
        </w:tc>
        <w:tc>
          <w:tcPr>
            <w:tcW w:w="960" w:type="dxa"/>
            <w:tcBorders>
              <w:top w:val="nil"/>
              <w:left w:val="nil"/>
              <w:bottom w:val="single" w:color="auto" w:sz="4" w:space="0"/>
              <w:right w:val="single" w:color="auto" w:sz="4" w:space="0"/>
            </w:tcBorders>
          </w:tcPr>
          <w:p w14:paraId="5A36B3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F9C72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FECE63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E4860E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BCC677E">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3EC3D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8FA4E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59531A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79F3E7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32D4BA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BBC246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BB89E0B">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4BAB26D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FFDC65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Mass Concrete Class 15/20mm Maximum Aggregate as Described in:-</w:t>
            </w:r>
          </w:p>
        </w:tc>
        <w:tc>
          <w:tcPr>
            <w:tcW w:w="960" w:type="dxa"/>
            <w:tcBorders>
              <w:top w:val="nil"/>
              <w:left w:val="nil"/>
              <w:bottom w:val="single" w:color="auto" w:sz="4" w:space="0"/>
              <w:right w:val="single" w:color="auto" w:sz="4" w:space="0"/>
            </w:tcBorders>
          </w:tcPr>
          <w:p w14:paraId="45AE04D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FFB954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19A85F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012C91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BCD114F">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493D20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5EE368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EAFCCC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94F333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E6DF2F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B0FE4E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2CA96FB">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051E080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1.15</w:t>
            </w:r>
          </w:p>
        </w:tc>
        <w:tc>
          <w:tcPr>
            <w:tcW w:w="3144" w:type="dxa"/>
            <w:tcBorders>
              <w:top w:val="nil"/>
              <w:left w:val="nil"/>
              <w:bottom w:val="single" w:color="auto" w:sz="4" w:space="0"/>
              <w:right w:val="single" w:color="auto" w:sz="4" w:space="0"/>
            </w:tcBorders>
          </w:tcPr>
          <w:p w14:paraId="6C269FA0">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50mm Thick blinding under foundation concrete, column bases or over hardcore </w:t>
            </w:r>
          </w:p>
        </w:tc>
        <w:tc>
          <w:tcPr>
            <w:tcW w:w="960" w:type="dxa"/>
            <w:tcBorders>
              <w:top w:val="nil"/>
              <w:left w:val="nil"/>
              <w:bottom w:val="single" w:color="auto" w:sz="4" w:space="0"/>
              <w:right w:val="single" w:color="auto" w:sz="4" w:space="0"/>
            </w:tcBorders>
          </w:tcPr>
          <w:p w14:paraId="20C6A7F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0026D63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150</w:t>
            </w:r>
          </w:p>
        </w:tc>
        <w:tc>
          <w:tcPr>
            <w:tcW w:w="1900" w:type="dxa"/>
            <w:tcBorders>
              <w:top w:val="nil"/>
              <w:left w:val="nil"/>
              <w:bottom w:val="single" w:color="auto" w:sz="4" w:space="0"/>
              <w:right w:val="single" w:color="auto" w:sz="4" w:space="0"/>
            </w:tcBorders>
          </w:tcPr>
          <w:p w14:paraId="6CF414B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1,500.00 </w:t>
            </w:r>
          </w:p>
        </w:tc>
        <w:tc>
          <w:tcPr>
            <w:tcW w:w="1806" w:type="dxa"/>
            <w:tcBorders>
              <w:top w:val="nil"/>
              <w:left w:val="nil"/>
              <w:bottom w:val="single" w:color="auto" w:sz="4" w:space="0"/>
              <w:right w:val="single" w:color="auto" w:sz="8" w:space="0"/>
            </w:tcBorders>
          </w:tcPr>
          <w:p w14:paraId="6ACC183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225,000.00 </w:t>
            </w:r>
          </w:p>
        </w:tc>
      </w:tr>
      <w:tr w14:paraId="2A76356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10EE54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37F140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D2F7F8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23CEA2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5EF171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056513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5044809">
        <w:tblPrEx>
          <w:tblCellMar>
            <w:top w:w="0" w:type="dxa"/>
            <w:left w:w="108" w:type="dxa"/>
            <w:bottom w:w="0" w:type="dxa"/>
            <w:right w:w="108" w:type="dxa"/>
          </w:tblCellMar>
        </w:tblPrEx>
        <w:trPr>
          <w:trHeight w:val="1020" w:hRule="atLeast"/>
        </w:trPr>
        <w:tc>
          <w:tcPr>
            <w:tcW w:w="576" w:type="dxa"/>
            <w:tcBorders>
              <w:top w:val="nil"/>
              <w:left w:val="single" w:color="auto" w:sz="8" w:space="0"/>
              <w:bottom w:val="single" w:color="auto" w:sz="4" w:space="0"/>
              <w:right w:val="single" w:color="auto" w:sz="4" w:space="0"/>
            </w:tcBorders>
          </w:tcPr>
          <w:p w14:paraId="13EB470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4116BA7">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Guaranteed Strength Reinforced Concrete Class 25/20mm Maximum Aggregate as Described in:-</w:t>
            </w:r>
          </w:p>
        </w:tc>
        <w:tc>
          <w:tcPr>
            <w:tcW w:w="960" w:type="dxa"/>
            <w:tcBorders>
              <w:top w:val="nil"/>
              <w:left w:val="nil"/>
              <w:bottom w:val="single" w:color="auto" w:sz="4" w:space="0"/>
              <w:right w:val="single" w:color="auto" w:sz="4" w:space="0"/>
            </w:tcBorders>
          </w:tcPr>
          <w:p w14:paraId="6B5BCCC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BCB790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7EE1AA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481DCE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46D63C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04C4AF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9E60EA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9CCD35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1D5878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7BE143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21AAD0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5431FBC">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5399888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1.16</w:t>
            </w:r>
          </w:p>
        </w:tc>
        <w:tc>
          <w:tcPr>
            <w:tcW w:w="3144" w:type="dxa"/>
            <w:tcBorders>
              <w:top w:val="nil"/>
              <w:left w:val="nil"/>
              <w:bottom w:val="single" w:color="auto" w:sz="4" w:space="0"/>
              <w:right w:val="single" w:color="auto" w:sz="4" w:space="0"/>
            </w:tcBorders>
          </w:tcPr>
          <w:p w14:paraId="4417AEEF">
            <w:pPr>
              <w:spacing w:line="240" w:lineRule="auto"/>
              <w:rPr>
                <w:rFonts w:ascii="Times New Roman" w:hAnsi="Times New Roman" w:eastAsia="Times New Roman"/>
                <w:sz w:val="16"/>
                <w:szCs w:val="16"/>
              </w:rPr>
            </w:pPr>
            <w:r>
              <w:rPr>
                <w:rFonts w:ascii="Times New Roman" w:hAnsi="Times New Roman" w:eastAsia="Times New Roman"/>
                <w:sz w:val="16"/>
                <w:szCs w:val="16"/>
              </w:rPr>
              <w:t>Foundation trenches for strip footing</w:t>
            </w:r>
          </w:p>
        </w:tc>
        <w:tc>
          <w:tcPr>
            <w:tcW w:w="960" w:type="dxa"/>
            <w:tcBorders>
              <w:top w:val="nil"/>
              <w:left w:val="nil"/>
              <w:bottom w:val="single" w:color="auto" w:sz="4" w:space="0"/>
              <w:right w:val="single" w:color="auto" w:sz="4" w:space="0"/>
            </w:tcBorders>
          </w:tcPr>
          <w:p w14:paraId="5B9EE56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79D2C34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8</w:t>
            </w:r>
          </w:p>
        </w:tc>
        <w:tc>
          <w:tcPr>
            <w:tcW w:w="1900" w:type="dxa"/>
            <w:tcBorders>
              <w:top w:val="nil"/>
              <w:left w:val="nil"/>
              <w:bottom w:val="single" w:color="auto" w:sz="4" w:space="0"/>
              <w:right w:val="single" w:color="auto" w:sz="4" w:space="0"/>
            </w:tcBorders>
          </w:tcPr>
          <w:p w14:paraId="259A837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25,000.00 </w:t>
            </w:r>
          </w:p>
        </w:tc>
        <w:tc>
          <w:tcPr>
            <w:tcW w:w="1806" w:type="dxa"/>
            <w:tcBorders>
              <w:top w:val="nil"/>
              <w:left w:val="nil"/>
              <w:bottom w:val="single" w:color="auto" w:sz="4" w:space="0"/>
              <w:right w:val="single" w:color="auto" w:sz="8" w:space="0"/>
            </w:tcBorders>
          </w:tcPr>
          <w:p w14:paraId="33B22BB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200,000.00 </w:t>
            </w:r>
          </w:p>
        </w:tc>
      </w:tr>
      <w:tr w14:paraId="435AE0B1">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B25417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F4E629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D289F8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A7C0C9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3FC49C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0A775B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F80B3E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06AB48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1.17</w:t>
            </w:r>
          </w:p>
        </w:tc>
        <w:tc>
          <w:tcPr>
            <w:tcW w:w="3144" w:type="dxa"/>
            <w:tcBorders>
              <w:top w:val="nil"/>
              <w:left w:val="nil"/>
              <w:bottom w:val="single" w:color="auto" w:sz="4" w:space="0"/>
              <w:right w:val="single" w:color="auto" w:sz="4" w:space="0"/>
            </w:tcBorders>
          </w:tcPr>
          <w:p w14:paraId="689C6ACB">
            <w:pPr>
              <w:spacing w:line="240" w:lineRule="auto"/>
              <w:rPr>
                <w:rFonts w:ascii="Times New Roman" w:hAnsi="Times New Roman" w:eastAsia="Times New Roman"/>
                <w:sz w:val="16"/>
                <w:szCs w:val="16"/>
              </w:rPr>
            </w:pPr>
            <w:r>
              <w:rPr>
                <w:rFonts w:ascii="Times New Roman" w:hAnsi="Times New Roman" w:eastAsia="Times New Roman"/>
                <w:sz w:val="16"/>
                <w:szCs w:val="16"/>
              </w:rPr>
              <w:t>Column footing</w:t>
            </w:r>
          </w:p>
        </w:tc>
        <w:tc>
          <w:tcPr>
            <w:tcW w:w="960" w:type="dxa"/>
            <w:tcBorders>
              <w:top w:val="nil"/>
              <w:left w:val="nil"/>
              <w:bottom w:val="single" w:color="auto" w:sz="4" w:space="0"/>
              <w:right w:val="single" w:color="auto" w:sz="4" w:space="0"/>
            </w:tcBorders>
          </w:tcPr>
          <w:p w14:paraId="53B9E01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1CD68CE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w:t>
            </w:r>
          </w:p>
        </w:tc>
        <w:tc>
          <w:tcPr>
            <w:tcW w:w="1900" w:type="dxa"/>
            <w:tcBorders>
              <w:top w:val="nil"/>
              <w:left w:val="nil"/>
              <w:bottom w:val="single" w:color="auto" w:sz="4" w:space="0"/>
              <w:right w:val="single" w:color="auto" w:sz="4" w:space="0"/>
            </w:tcBorders>
          </w:tcPr>
          <w:p w14:paraId="6DE741E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25,000.00 </w:t>
            </w:r>
          </w:p>
        </w:tc>
        <w:tc>
          <w:tcPr>
            <w:tcW w:w="1806" w:type="dxa"/>
            <w:tcBorders>
              <w:top w:val="nil"/>
              <w:left w:val="nil"/>
              <w:bottom w:val="single" w:color="auto" w:sz="4" w:space="0"/>
              <w:right w:val="single" w:color="auto" w:sz="8" w:space="0"/>
            </w:tcBorders>
          </w:tcPr>
          <w:p w14:paraId="5BD7C3D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25,000.00 </w:t>
            </w:r>
          </w:p>
        </w:tc>
      </w:tr>
      <w:tr w14:paraId="4BD83F8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782392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9D7427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21CC88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5450C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508EBB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246A94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6A98D4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2096C1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1.18</w:t>
            </w:r>
          </w:p>
        </w:tc>
        <w:tc>
          <w:tcPr>
            <w:tcW w:w="3144" w:type="dxa"/>
            <w:tcBorders>
              <w:top w:val="nil"/>
              <w:left w:val="nil"/>
              <w:bottom w:val="single" w:color="auto" w:sz="4" w:space="0"/>
              <w:right w:val="single" w:color="auto" w:sz="4" w:space="0"/>
            </w:tcBorders>
          </w:tcPr>
          <w:p w14:paraId="7E839C18">
            <w:pPr>
              <w:spacing w:line="240" w:lineRule="auto"/>
              <w:rPr>
                <w:rFonts w:ascii="Times New Roman" w:hAnsi="Times New Roman" w:eastAsia="Times New Roman"/>
                <w:sz w:val="16"/>
                <w:szCs w:val="16"/>
              </w:rPr>
            </w:pPr>
            <w:r>
              <w:rPr>
                <w:rFonts w:ascii="Times New Roman" w:hAnsi="Times New Roman" w:eastAsia="Times New Roman"/>
                <w:sz w:val="16"/>
                <w:szCs w:val="16"/>
              </w:rPr>
              <w:t>Columns</w:t>
            </w:r>
          </w:p>
        </w:tc>
        <w:tc>
          <w:tcPr>
            <w:tcW w:w="960" w:type="dxa"/>
            <w:tcBorders>
              <w:top w:val="nil"/>
              <w:left w:val="nil"/>
              <w:bottom w:val="single" w:color="auto" w:sz="4" w:space="0"/>
              <w:right w:val="single" w:color="auto" w:sz="4" w:space="0"/>
            </w:tcBorders>
          </w:tcPr>
          <w:p w14:paraId="1A082F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470D08B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w:t>
            </w:r>
          </w:p>
        </w:tc>
        <w:tc>
          <w:tcPr>
            <w:tcW w:w="1900" w:type="dxa"/>
            <w:tcBorders>
              <w:top w:val="nil"/>
              <w:left w:val="nil"/>
              <w:bottom w:val="single" w:color="auto" w:sz="4" w:space="0"/>
              <w:right w:val="single" w:color="auto" w:sz="4" w:space="0"/>
            </w:tcBorders>
          </w:tcPr>
          <w:p w14:paraId="5A14A58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25,000.00 </w:t>
            </w:r>
          </w:p>
        </w:tc>
        <w:tc>
          <w:tcPr>
            <w:tcW w:w="1806" w:type="dxa"/>
            <w:tcBorders>
              <w:top w:val="nil"/>
              <w:left w:val="nil"/>
              <w:bottom w:val="single" w:color="auto" w:sz="4" w:space="0"/>
              <w:right w:val="single" w:color="auto" w:sz="8" w:space="0"/>
            </w:tcBorders>
          </w:tcPr>
          <w:p w14:paraId="651F23B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25,000.00 </w:t>
            </w:r>
          </w:p>
        </w:tc>
      </w:tr>
      <w:tr w14:paraId="45E9AE0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19EA5C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E4B99C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557BE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244CDE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49B48F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44C15B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1AAB6F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0C5096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1.19</w:t>
            </w:r>
          </w:p>
        </w:tc>
        <w:tc>
          <w:tcPr>
            <w:tcW w:w="3144" w:type="dxa"/>
            <w:tcBorders>
              <w:top w:val="nil"/>
              <w:left w:val="nil"/>
              <w:bottom w:val="single" w:color="auto" w:sz="4" w:space="0"/>
              <w:right w:val="single" w:color="auto" w:sz="4" w:space="0"/>
            </w:tcBorders>
          </w:tcPr>
          <w:p w14:paraId="120647E7">
            <w:pPr>
              <w:spacing w:line="240" w:lineRule="auto"/>
              <w:rPr>
                <w:rFonts w:ascii="Times New Roman" w:hAnsi="Times New Roman" w:eastAsia="Times New Roman"/>
                <w:sz w:val="16"/>
                <w:szCs w:val="16"/>
              </w:rPr>
            </w:pPr>
            <w:r>
              <w:rPr>
                <w:rFonts w:ascii="Times New Roman" w:hAnsi="Times New Roman" w:eastAsia="Times New Roman"/>
                <w:sz w:val="16"/>
                <w:szCs w:val="16"/>
              </w:rPr>
              <w:t>150mm thick surface bed</w:t>
            </w:r>
          </w:p>
        </w:tc>
        <w:tc>
          <w:tcPr>
            <w:tcW w:w="960" w:type="dxa"/>
            <w:tcBorders>
              <w:top w:val="nil"/>
              <w:left w:val="nil"/>
              <w:bottom w:val="single" w:color="auto" w:sz="4" w:space="0"/>
              <w:right w:val="single" w:color="auto" w:sz="4" w:space="0"/>
            </w:tcBorders>
          </w:tcPr>
          <w:p w14:paraId="1601251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44F8915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23</w:t>
            </w:r>
          </w:p>
        </w:tc>
        <w:tc>
          <w:tcPr>
            <w:tcW w:w="1900" w:type="dxa"/>
            <w:tcBorders>
              <w:top w:val="nil"/>
              <w:left w:val="nil"/>
              <w:bottom w:val="single" w:color="auto" w:sz="4" w:space="0"/>
              <w:right w:val="single" w:color="auto" w:sz="4" w:space="0"/>
            </w:tcBorders>
          </w:tcPr>
          <w:p w14:paraId="0EED647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3,000.00 </w:t>
            </w:r>
          </w:p>
        </w:tc>
        <w:tc>
          <w:tcPr>
            <w:tcW w:w="1806" w:type="dxa"/>
            <w:tcBorders>
              <w:top w:val="nil"/>
              <w:left w:val="nil"/>
              <w:bottom w:val="single" w:color="auto" w:sz="4" w:space="0"/>
              <w:right w:val="single" w:color="auto" w:sz="8" w:space="0"/>
            </w:tcBorders>
          </w:tcPr>
          <w:p w14:paraId="4435091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69,000.00 </w:t>
            </w:r>
          </w:p>
        </w:tc>
      </w:tr>
      <w:tr w14:paraId="4198F5C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D39BBA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AE0F00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26507C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8E7F87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634D12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34823F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6B884A6">
        <w:tblPrEx>
          <w:tblCellMar>
            <w:top w:w="0" w:type="dxa"/>
            <w:left w:w="108" w:type="dxa"/>
            <w:bottom w:w="0" w:type="dxa"/>
            <w:right w:w="108" w:type="dxa"/>
          </w:tblCellMar>
        </w:tblPrEx>
        <w:trPr>
          <w:trHeight w:val="1020" w:hRule="atLeast"/>
        </w:trPr>
        <w:tc>
          <w:tcPr>
            <w:tcW w:w="576" w:type="dxa"/>
            <w:tcBorders>
              <w:top w:val="nil"/>
              <w:left w:val="single" w:color="auto" w:sz="8" w:space="0"/>
              <w:bottom w:val="single" w:color="auto" w:sz="4" w:space="0"/>
              <w:right w:val="single" w:color="auto" w:sz="4" w:space="0"/>
            </w:tcBorders>
          </w:tcPr>
          <w:p w14:paraId="2418AEF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1.20</w:t>
            </w:r>
          </w:p>
        </w:tc>
        <w:tc>
          <w:tcPr>
            <w:tcW w:w="3144" w:type="dxa"/>
            <w:tcBorders>
              <w:top w:val="nil"/>
              <w:left w:val="nil"/>
              <w:bottom w:val="single" w:color="auto" w:sz="4" w:space="0"/>
              <w:right w:val="single" w:color="auto" w:sz="4" w:space="0"/>
            </w:tcBorders>
          </w:tcPr>
          <w:p w14:paraId="61FD79B2">
            <w:pPr>
              <w:spacing w:line="240" w:lineRule="auto"/>
              <w:rPr>
                <w:rFonts w:ascii="Times New Roman" w:hAnsi="Times New Roman" w:eastAsia="Times New Roman"/>
                <w:sz w:val="16"/>
                <w:szCs w:val="16"/>
              </w:rPr>
            </w:pPr>
            <w:r>
              <w:rPr>
                <w:rFonts w:ascii="Times New Roman" w:hAnsi="Times New Roman" w:eastAsia="Times New Roman"/>
                <w:sz w:val="16"/>
                <w:szCs w:val="16"/>
              </w:rPr>
              <w:t>150mm thick ramp laid to slope not exceeding 15 degrees fromhorizontal at entrance</w:t>
            </w:r>
          </w:p>
        </w:tc>
        <w:tc>
          <w:tcPr>
            <w:tcW w:w="960" w:type="dxa"/>
            <w:tcBorders>
              <w:top w:val="nil"/>
              <w:left w:val="nil"/>
              <w:bottom w:val="single" w:color="auto" w:sz="4" w:space="0"/>
              <w:right w:val="single" w:color="auto" w:sz="4" w:space="0"/>
            </w:tcBorders>
          </w:tcPr>
          <w:p w14:paraId="5432897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31CF7D7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000DB1D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3,000.00 </w:t>
            </w:r>
          </w:p>
        </w:tc>
        <w:tc>
          <w:tcPr>
            <w:tcW w:w="1806" w:type="dxa"/>
            <w:tcBorders>
              <w:top w:val="nil"/>
              <w:left w:val="nil"/>
              <w:bottom w:val="single" w:color="auto" w:sz="4" w:space="0"/>
              <w:right w:val="single" w:color="auto" w:sz="8" w:space="0"/>
            </w:tcBorders>
          </w:tcPr>
          <w:p w14:paraId="286BB2D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6,000.00 </w:t>
            </w:r>
          </w:p>
        </w:tc>
      </w:tr>
      <w:tr w14:paraId="01A7611F">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FC5B1A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E3DAD0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F2409C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49843D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06FE84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02DA1D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B8F99CE">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0D45A0D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1.21</w:t>
            </w:r>
          </w:p>
        </w:tc>
        <w:tc>
          <w:tcPr>
            <w:tcW w:w="3144" w:type="dxa"/>
            <w:tcBorders>
              <w:top w:val="nil"/>
              <w:left w:val="nil"/>
              <w:bottom w:val="single" w:color="auto" w:sz="4" w:space="0"/>
              <w:right w:val="single" w:color="auto" w:sz="4" w:space="0"/>
            </w:tcBorders>
          </w:tcPr>
          <w:p w14:paraId="4337B231">
            <w:pPr>
              <w:spacing w:line="240" w:lineRule="auto"/>
              <w:rPr>
                <w:rFonts w:ascii="Times New Roman" w:hAnsi="Times New Roman" w:eastAsia="Times New Roman"/>
                <w:sz w:val="16"/>
                <w:szCs w:val="16"/>
              </w:rPr>
            </w:pPr>
            <w:r>
              <w:rPr>
                <w:rFonts w:ascii="Times New Roman" w:hAnsi="Times New Roman" w:eastAsia="Times New Roman"/>
                <w:sz w:val="16"/>
                <w:szCs w:val="16"/>
              </w:rPr>
              <w:t>Extra over concrete for tamping whilst still green to make ribbed finish</w:t>
            </w:r>
          </w:p>
        </w:tc>
        <w:tc>
          <w:tcPr>
            <w:tcW w:w="960" w:type="dxa"/>
            <w:tcBorders>
              <w:top w:val="nil"/>
              <w:left w:val="nil"/>
              <w:bottom w:val="single" w:color="auto" w:sz="4" w:space="0"/>
              <w:right w:val="single" w:color="auto" w:sz="4" w:space="0"/>
            </w:tcBorders>
          </w:tcPr>
          <w:p w14:paraId="4ABBEA9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26236A7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37B909C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3,000.00 </w:t>
            </w:r>
          </w:p>
        </w:tc>
        <w:tc>
          <w:tcPr>
            <w:tcW w:w="1806" w:type="dxa"/>
            <w:tcBorders>
              <w:top w:val="nil"/>
              <w:left w:val="nil"/>
              <w:bottom w:val="single" w:color="auto" w:sz="4" w:space="0"/>
              <w:right w:val="single" w:color="auto" w:sz="8" w:space="0"/>
            </w:tcBorders>
          </w:tcPr>
          <w:p w14:paraId="50B85B3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6,000.00 </w:t>
            </w:r>
          </w:p>
        </w:tc>
      </w:tr>
      <w:tr w14:paraId="491989C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F0C4B5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5B39B8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662701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97331D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34BFF3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58BA3D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EBED07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3C6ADB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803484F">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 xml:space="preserve">Reinforcement </w:t>
            </w:r>
          </w:p>
        </w:tc>
        <w:tc>
          <w:tcPr>
            <w:tcW w:w="960" w:type="dxa"/>
            <w:tcBorders>
              <w:top w:val="nil"/>
              <w:left w:val="nil"/>
              <w:bottom w:val="single" w:color="auto" w:sz="4" w:space="0"/>
              <w:right w:val="single" w:color="auto" w:sz="4" w:space="0"/>
            </w:tcBorders>
          </w:tcPr>
          <w:p w14:paraId="20F9B7D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70FB03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FE71AE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FFFADE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ED0DEFF">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950D1A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C86EA4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ED56E2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CEF538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465982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88AC5B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A5A25F8">
        <w:tblPrEx>
          <w:tblCellMar>
            <w:top w:w="0" w:type="dxa"/>
            <w:left w:w="108" w:type="dxa"/>
            <w:bottom w:w="0" w:type="dxa"/>
            <w:right w:w="108" w:type="dxa"/>
          </w:tblCellMar>
        </w:tblPrEx>
        <w:trPr>
          <w:trHeight w:val="1560" w:hRule="atLeast"/>
        </w:trPr>
        <w:tc>
          <w:tcPr>
            <w:tcW w:w="576" w:type="dxa"/>
            <w:tcBorders>
              <w:top w:val="nil"/>
              <w:left w:val="single" w:color="auto" w:sz="8" w:space="0"/>
              <w:bottom w:val="single" w:color="auto" w:sz="4" w:space="0"/>
              <w:right w:val="single" w:color="auto" w:sz="4" w:space="0"/>
            </w:tcBorders>
          </w:tcPr>
          <w:p w14:paraId="7E078F5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313BB8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Fabric Reinforcement No. A142 Mesh Size 200 x 200mm Weighing 3.95 kgs Per m</w:t>
            </w:r>
            <w:r>
              <w:rPr>
                <w:rFonts w:ascii="Times New Roman" w:hAnsi="Times New Roman" w:eastAsia="Times New Roman"/>
                <w:b/>
                <w:bCs/>
                <w:sz w:val="16"/>
                <w:szCs w:val="16"/>
                <w:u w:val="single"/>
                <w:vertAlign w:val="superscript"/>
              </w:rPr>
              <w:t>2</w:t>
            </w:r>
            <w:r>
              <w:rPr>
                <w:rFonts w:ascii="Times New Roman" w:hAnsi="Times New Roman" w:eastAsia="Times New Roman"/>
                <w:b/>
                <w:bCs/>
                <w:sz w:val="16"/>
                <w:szCs w:val="16"/>
                <w:u w:val="single"/>
              </w:rPr>
              <w:t>, Including Bends, Tying Wire and Distance Blocks:-</w:t>
            </w:r>
          </w:p>
        </w:tc>
        <w:tc>
          <w:tcPr>
            <w:tcW w:w="960" w:type="dxa"/>
            <w:tcBorders>
              <w:top w:val="nil"/>
              <w:left w:val="nil"/>
              <w:bottom w:val="single" w:color="auto" w:sz="4" w:space="0"/>
              <w:right w:val="single" w:color="auto" w:sz="4" w:space="0"/>
            </w:tcBorders>
          </w:tcPr>
          <w:p w14:paraId="270CF9B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7D5922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7544EB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85B871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C06F80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F6F5FC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EBB2AF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D6C2A5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9A1E31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291B0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A3706A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5240564">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026609B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1.22</w:t>
            </w:r>
          </w:p>
        </w:tc>
        <w:tc>
          <w:tcPr>
            <w:tcW w:w="3144" w:type="dxa"/>
            <w:tcBorders>
              <w:top w:val="nil"/>
              <w:left w:val="nil"/>
              <w:bottom w:val="single" w:color="auto" w:sz="4" w:space="0"/>
              <w:right w:val="single" w:color="auto" w:sz="4" w:space="0"/>
            </w:tcBorders>
          </w:tcPr>
          <w:p w14:paraId="1F8ED3BF">
            <w:pPr>
              <w:spacing w:line="240" w:lineRule="auto"/>
              <w:rPr>
                <w:rFonts w:ascii="Times New Roman" w:hAnsi="Times New Roman" w:eastAsia="Times New Roman"/>
                <w:sz w:val="16"/>
                <w:szCs w:val="16"/>
              </w:rPr>
            </w:pPr>
            <w:r>
              <w:rPr>
                <w:rFonts w:ascii="Times New Roman" w:hAnsi="Times New Roman" w:eastAsia="Times New Roman"/>
                <w:sz w:val="16"/>
                <w:szCs w:val="16"/>
              </w:rPr>
              <w:t>Fabric reinforcement with minimum 200mm wide side and end laps, laid in bed.</w:t>
            </w:r>
          </w:p>
        </w:tc>
        <w:tc>
          <w:tcPr>
            <w:tcW w:w="960" w:type="dxa"/>
            <w:tcBorders>
              <w:top w:val="nil"/>
              <w:left w:val="nil"/>
              <w:bottom w:val="single" w:color="auto" w:sz="4" w:space="0"/>
              <w:right w:val="single" w:color="auto" w:sz="4" w:space="0"/>
            </w:tcBorders>
          </w:tcPr>
          <w:p w14:paraId="455E175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45B1292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150</w:t>
            </w:r>
          </w:p>
        </w:tc>
        <w:tc>
          <w:tcPr>
            <w:tcW w:w="1900" w:type="dxa"/>
            <w:tcBorders>
              <w:top w:val="nil"/>
              <w:left w:val="nil"/>
              <w:bottom w:val="single" w:color="auto" w:sz="4" w:space="0"/>
              <w:right w:val="single" w:color="auto" w:sz="4" w:space="0"/>
            </w:tcBorders>
          </w:tcPr>
          <w:p w14:paraId="3883EBB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750.00 </w:t>
            </w:r>
          </w:p>
        </w:tc>
        <w:tc>
          <w:tcPr>
            <w:tcW w:w="1806" w:type="dxa"/>
            <w:tcBorders>
              <w:top w:val="nil"/>
              <w:left w:val="nil"/>
              <w:bottom w:val="single" w:color="auto" w:sz="4" w:space="0"/>
              <w:right w:val="single" w:color="auto" w:sz="8" w:space="0"/>
            </w:tcBorders>
          </w:tcPr>
          <w:p w14:paraId="37F6E10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112,500.00 </w:t>
            </w:r>
          </w:p>
        </w:tc>
      </w:tr>
      <w:tr w14:paraId="7C5F59F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1EF8F1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E5237C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333C5B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435865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470085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8FD66D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B9F241C">
        <w:tblPrEx>
          <w:tblCellMar>
            <w:top w:w="0" w:type="dxa"/>
            <w:left w:w="108" w:type="dxa"/>
            <w:bottom w:w="0" w:type="dxa"/>
            <w:right w:w="108" w:type="dxa"/>
          </w:tblCellMar>
        </w:tblPrEx>
        <w:trPr>
          <w:trHeight w:val="1530" w:hRule="atLeast"/>
        </w:trPr>
        <w:tc>
          <w:tcPr>
            <w:tcW w:w="576" w:type="dxa"/>
            <w:tcBorders>
              <w:top w:val="nil"/>
              <w:left w:val="single" w:color="auto" w:sz="8" w:space="0"/>
              <w:bottom w:val="single" w:color="auto" w:sz="4" w:space="0"/>
              <w:right w:val="single" w:color="auto" w:sz="4" w:space="0"/>
            </w:tcBorders>
          </w:tcPr>
          <w:p w14:paraId="710A347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F8C7342">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Provide and Fix High Tensile Steel Reinforcement to SRN 127 including Cutting, Bending, Propping with Spacers and Tying as Specified :-</w:t>
            </w:r>
          </w:p>
        </w:tc>
        <w:tc>
          <w:tcPr>
            <w:tcW w:w="960" w:type="dxa"/>
            <w:tcBorders>
              <w:top w:val="nil"/>
              <w:left w:val="nil"/>
              <w:bottom w:val="single" w:color="auto" w:sz="4" w:space="0"/>
              <w:right w:val="single" w:color="auto" w:sz="4" w:space="0"/>
            </w:tcBorders>
          </w:tcPr>
          <w:p w14:paraId="3A2E68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165C8B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8D2F38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FD50EA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E8675FE">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339160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00F95F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0F8E2C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72088B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628CFC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6B8118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75DF71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769390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1.23</w:t>
            </w:r>
          </w:p>
        </w:tc>
        <w:tc>
          <w:tcPr>
            <w:tcW w:w="3144" w:type="dxa"/>
            <w:tcBorders>
              <w:top w:val="nil"/>
              <w:left w:val="nil"/>
              <w:bottom w:val="single" w:color="auto" w:sz="4" w:space="0"/>
              <w:right w:val="single" w:color="auto" w:sz="4" w:space="0"/>
            </w:tcBorders>
          </w:tcPr>
          <w:p w14:paraId="7ABEDF98">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Reinforcement, all diameters </w:t>
            </w:r>
          </w:p>
        </w:tc>
        <w:tc>
          <w:tcPr>
            <w:tcW w:w="960" w:type="dxa"/>
            <w:tcBorders>
              <w:top w:val="nil"/>
              <w:left w:val="nil"/>
              <w:bottom w:val="single" w:color="auto" w:sz="4" w:space="0"/>
              <w:right w:val="single" w:color="auto" w:sz="4" w:space="0"/>
            </w:tcBorders>
          </w:tcPr>
          <w:p w14:paraId="0794C0A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Kg</w:t>
            </w:r>
          </w:p>
        </w:tc>
        <w:tc>
          <w:tcPr>
            <w:tcW w:w="960" w:type="dxa"/>
            <w:tcBorders>
              <w:top w:val="nil"/>
              <w:left w:val="nil"/>
              <w:bottom w:val="single" w:color="auto" w:sz="4" w:space="0"/>
              <w:right w:val="single" w:color="auto" w:sz="4" w:space="0"/>
            </w:tcBorders>
          </w:tcPr>
          <w:p w14:paraId="70B0B3C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970</w:t>
            </w:r>
          </w:p>
        </w:tc>
        <w:tc>
          <w:tcPr>
            <w:tcW w:w="1900" w:type="dxa"/>
            <w:tcBorders>
              <w:top w:val="nil"/>
              <w:left w:val="nil"/>
              <w:bottom w:val="single" w:color="auto" w:sz="4" w:space="0"/>
              <w:right w:val="single" w:color="auto" w:sz="4" w:space="0"/>
            </w:tcBorders>
          </w:tcPr>
          <w:p w14:paraId="45EE51C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375.00 </w:t>
            </w:r>
          </w:p>
        </w:tc>
        <w:tc>
          <w:tcPr>
            <w:tcW w:w="1806" w:type="dxa"/>
            <w:tcBorders>
              <w:top w:val="nil"/>
              <w:left w:val="nil"/>
              <w:bottom w:val="single" w:color="auto" w:sz="4" w:space="0"/>
              <w:right w:val="single" w:color="auto" w:sz="8" w:space="0"/>
            </w:tcBorders>
          </w:tcPr>
          <w:p w14:paraId="62C33F3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363,750.00 </w:t>
            </w:r>
          </w:p>
        </w:tc>
      </w:tr>
      <w:tr w14:paraId="6B2A00FF">
        <w:tblPrEx>
          <w:tblCellMar>
            <w:top w:w="0" w:type="dxa"/>
            <w:left w:w="108" w:type="dxa"/>
            <w:bottom w:w="0" w:type="dxa"/>
            <w:right w:w="108" w:type="dxa"/>
          </w:tblCellMar>
        </w:tblPrEx>
        <w:trPr>
          <w:trHeight w:val="300" w:hRule="atLeast"/>
        </w:trPr>
        <w:tc>
          <w:tcPr>
            <w:tcW w:w="576" w:type="dxa"/>
            <w:tcBorders>
              <w:top w:val="nil"/>
              <w:left w:val="single" w:color="auto" w:sz="8" w:space="0"/>
              <w:bottom w:val="nil"/>
              <w:right w:val="single" w:color="auto" w:sz="4" w:space="0"/>
            </w:tcBorders>
          </w:tcPr>
          <w:p w14:paraId="6ADD888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nil"/>
              <w:right w:val="single" w:color="auto" w:sz="4" w:space="0"/>
            </w:tcBorders>
          </w:tcPr>
          <w:p w14:paraId="4FCB3BB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nil"/>
              <w:right w:val="single" w:color="auto" w:sz="4" w:space="0"/>
            </w:tcBorders>
          </w:tcPr>
          <w:p w14:paraId="42BDEC5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nil"/>
              <w:right w:val="single" w:color="auto" w:sz="4" w:space="0"/>
            </w:tcBorders>
          </w:tcPr>
          <w:p w14:paraId="0B21775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nil"/>
              <w:right w:val="single" w:color="auto" w:sz="4" w:space="0"/>
            </w:tcBorders>
          </w:tcPr>
          <w:p w14:paraId="1DEB158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EA4966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6EA914A">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457516D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single" w:color="auto" w:sz="4" w:space="0"/>
              <w:left w:val="nil"/>
              <w:bottom w:val="single" w:color="auto" w:sz="4" w:space="0"/>
              <w:right w:val="single" w:color="auto" w:sz="4" w:space="0"/>
            </w:tcBorders>
          </w:tcPr>
          <w:p w14:paraId="37FA3F00">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Formwork</w:t>
            </w:r>
          </w:p>
        </w:tc>
        <w:tc>
          <w:tcPr>
            <w:tcW w:w="960" w:type="dxa"/>
            <w:tcBorders>
              <w:top w:val="single" w:color="auto" w:sz="4" w:space="0"/>
              <w:left w:val="nil"/>
              <w:bottom w:val="single" w:color="auto" w:sz="4" w:space="0"/>
              <w:right w:val="single" w:color="auto" w:sz="4" w:space="0"/>
            </w:tcBorders>
          </w:tcPr>
          <w:p w14:paraId="164FB75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single" w:color="auto" w:sz="4" w:space="0"/>
              <w:left w:val="nil"/>
              <w:bottom w:val="single" w:color="auto" w:sz="4" w:space="0"/>
              <w:right w:val="single" w:color="auto" w:sz="4" w:space="0"/>
            </w:tcBorders>
          </w:tcPr>
          <w:p w14:paraId="0B3A7F3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single" w:color="auto" w:sz="4" w:space="0"/>
              <w:left w:val="nil"/>
              <w:bottom w:val="single" w:color="auto" w:sz="4" w:space="0"/>
              <w:right w:val="single" w:color="auto" w:sz="4" w:space="0"/>
            </w:tcBorders>
          </w:tcPr>
          <w:p w14:paraId="5E2F5AA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9B604F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7D9433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FD497E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9D35DF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CC8B4A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AC7687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EFFC2D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4E1DC9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A9678B4">
        <w:tblPrEx>
          <w:tblCellMar>
            <w:top w:w="0" w:type="dxa"/>
            <w:left w:w="108" w:type="dxa"/>
            <w:bottom w:w="0" w:type="dxa"/>
            <w:right w:w="108" w:type="dxa"/>
          </w:tblCellMar>
        </w:tblPrEx>
        <w:trPr>
          <w:trHeight w:val="1020" w:hRule="atLeast"/>
        </w:trPr>
        <w:tc>
          <w:tcPr>
            <w:tcW w:w="576" w:type="dxa"/>
            <w:tcBorders>
              <w:top w:val="nil"/>
              <w:left w:val="single" w:color="auto" w:sz="8" w:space="0"/>
              <w:bottom w:val="single" w:color="auto" w:sz="4" w:space="0"/>
              <w:right w:val="single" w:color="auto" w:sz="4" w:space="0"/>
            </w:tcBorders>
          </w:tcPr>
          <w:p w14:paraId="54F42FB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6D7ECDB">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 xml:space="preserve">Provide and Fix Shuttering Including Propping, Strutting and Striking, all as Specified </w:t>
            </w:r>
          </w:p>
        </w:tc>
        <w:tc>
          <w:tcPr>
            <w:tcW w:w="960" w:type="dxa"/>
            <w:tcBorders>
              <w:top w:val="nil"/>
              <w:left w:val="nil"/>
              <w:bottom w:val="single" w:color="auto" w:sz="4" w:space="0"/>
              <w:right w:val="single" w:color="auto" w:sz="4" w:space="0"/>
            </w:tcBorders>
          </w:tcPr>
          <w:p w14:paraId="14A651D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B9DAAF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AB4E97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96CB63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CACE5C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9A1516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CBBD4B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CDC98E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5E355C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D5F58A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DD843C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E932679">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3FF733C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98AD76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Sawn Formwork - Class F1 Finish:-</w:t>
            </w:r>
          </w:p>
        </w:tc>
        <w:tc>
          <w:tcPr>
            <w:tcW w:w="960" w:type="dxa"/>
            <w:tcBorders>
              <w:top w:val="nil"/>
              <w:left w:val="nil"/>
              <w:bottom w:val="single" w:color="auto" w:sz="4" w:space="0"/>
              <w:right w:val="single" w:color="auto" w:sz="4" w:space="0"/>
            </w:tcBorders>
          </w:tcPr>
          <w:p w14:paraId="2E75558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65F7CE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84787B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B2ED44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F5A710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E37D91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F8FCE7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AF0DBA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528BFC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7525B9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D8F591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F5FA04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BAFA6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1.24</w:t>
            </w:r>
          </w:p>
        </w:tc>
        <w:tc>
          <w:tcPr>
            <w:tcW w:w="3144" w:type="dxa"/>
            <w:tcBorders>
              <w:top w:val="nil"/>
              <w:left w:val="nil"/>
              <w:bottom w:val="single" w:color="auto" w:sz="4" w:space="0"/>
              <w:right w:val="single" w:color="auto" w:sz="4" w:space="0"/>
            </w:tcBorders>
          </w:tcPr>
          <w:p w14:paraId="2C8653C7">
            <w:pPr>
              <w:spacing w:line="240" w:lineRule="auto"/>
              <w:rPr>
                <w:rFonts w:ascii="Times New Roman" w:hAnsi="Times New Roman" w:eastAsia="Times New Roman"/>
                <w:sz w:val="16"/>
                <w:szCs w:val="16"/>
              </w:rPr>
            </w:pPr>
            <w:r>
              <w:rPr>
                <w:rFonts w:ascii="Times New Roman" w:hAnsi="Times New Roman" w:eastAsia="Times New Roman"/>
                <w:sz w:val="16"/>
                <w:szCs w:val="16"/>
              </w:rPr>
              <w:t>Vertical sides of strip footing</w:t>
            </w:r>
          </w:p>
        </w:tc>
        <w:tc>
          <w:tcPr>
            <w:tcW w:w="960" w:type="dxa"/>
            <w:tcBorders>
              <w:top w:val="nil"/>
              <w:left w:val="nil"/>
              <w:bottom w:val="single" w:color="auto" w:sz="4" w:space="0"/>
              <w:right w:val="single" w:color="auto" w:sz="4" w:space="0"/>
            </w:tcBorders>
          </w:tcPr>
          <w:p w14:paraId="3848CDD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5C0C7A3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65</w:t>
            </w:r>
          </w:p>
        </w:tc>
        <w:tc>
          <w:tcPr>
            <w:tcW w:w="1900" w:type="dxa"/>
            <w:tcBorders>
              <w:top w:val="nil"/>
              <w:left w:val="nil"/>
              <w:bottom w:val="single" w:color="auto" w:sz="4" w:space="0"/>
              <w:right w:val="single" w:color="auto" w:sz="4" w:space="0"/>
            </w:tcBorders>
          </w:tcPr>
          <w:p w14:paraId="65B90E5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450.00 </w:t>
            </w:r>
          </w:p>
        </w:tc>
        <w:tc>
          <w:tcPr>
            <w:tcW w:w="1806" w:type="dxa"/>
            <w:tcBorders>
              <w:top w:val="nil"/>
              <w:left w:val="nil"/>
              <w:bottom w:val="single" w:color="auto" w:sz="4" w:space="0"/>
              <w:right w:val="single" w:color="auto" w:sz="8" w:space="0"/>
            </w:tcBorders>
          </w:tcPr>
          <w:p w14:paraId="0767ACD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29,250.00 </w:t>
            </w:r>
          </w:p>
        </w:tc>
      </w:tr>
      <w:tr w14:paraId="092F9E11">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293D52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C63FB9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2B807A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90A982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67C5ED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C4E76C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F912C31">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02CFA9A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1.25</w:t>
            </w:r>
          </w:p>
        </w:tc>
        <w:tc>
          <w:tcPr>
            <w:tcW w:w="3144" w:type="dxa"/>
            <w:tcBorders>
              <w:top w:val="nil"/>
              <w:left w:val="nil"/>
              <w:bottom w:val="single" w:color="auto" w:sz="4" w:space="0"/>
              <w:right w:val="single" w:color="auto" w:sz="4" w:space="0"/>
            </w:tcBorders>
          </w:tcPr>
          <w:p w14:paraId="73AB227C">
            <w:pPr>
              <w:spacing w:line="240" w:lineRule="auto"/>
              <w:rPr>
                <w:rFonts w:ascii="Times New Roman" w:hAnsi="Times New Roman" w:eastAsia="Times New Roman"/>
                <w:sz w:val="16"/>
                <w:szCs w:val="16"/>
              </w:rPr>
            </w:pPr>
            <w:r>
              <w:rPr>
                <w:rFonts w:ascii="Times New Roman" w:hAnsi="Times New Roman" w:eastAsia="Times New Roman"/>
                <w:sz w:val="16"/>
                <w:szCs w:val="16"/>
              </w:rPr>
              <w:t>Vertical sides of column bases</w:t>
            </w:r>
          </w:p>
        </w:tc>
        <w:tc>
          <w:tcPr>
            <w:tcW w:w="960" w:type="dxa"/>
            <w:tcBorders>
              <w:top w:val="nil"/>
              <w:left w:val="nil"/>
              <w:bottom w:val="single" w:color="auto" w:sz="4" w:space="0"/>
              <w:right w:val="single" w:color="auto" w:sz="4" w:space="0"/>
            </w:tcBorders>
          </w:tcPr>
          <w:p w14:paraId="0756D43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2917A1B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7</w:t>
            </w:r>
          </w:p>
        </w:tc>
        <w:tc>
          <w:tcPr>
            <w:tcW w:w="1900" w:type="dxa"/>
            <w:tcBorders>
              <w:top w:val="nil"/>
              <w:left w:val="nil"/>
              <w:bottom w:val="single" w:color="auto" w:sz="4" w:space="0"/>
              <w:right w:val="single" w:color="auto" w:sz="4" w:space="0"/>
            </w:tcBorders>
          </w:tcPr>
          <w:p w14:paraId="0AA2ABC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850.00 </w:t>
            </w:r>
          </w:p>
        </w:tc>
        <w:tc>
          <w:tcPr>
            <w:tcW w:w="1806" w:type="dxa"/>
            <w:tcBorders>
              <w:top w:val="nil"/>
              <w:left w:val="nil"/>
              <w:bottom w:val="single" w:color="auto" w:sz="4" w:space="0"/>
              <w:right w:val="single" w:color="auto" w:sz="8" w:space="0"/>
            </w:tcBorders>
          </w:tcPr>
          <w:p w14:paraId="1DA434F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5,950.00 </w:t>
            </w:r>
          </w:p>
        </w:tc>
      </w:tr>
      <w:tr w14:paraId="23AE51F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F5937A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CB9ECE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3C2E3F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6B13AF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830490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F6EAB4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79FD62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18B0B8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1.26</w:t>
            </w:r>
          </w:p>
        </w:tc>
        <w:tc>
          <w:tcPr>
            <w:tcW w:w="3144" w:type="dxa"/>
            <w:tcBorders>
              <w:top w:val="nil"/>
              <w:left w:val="nil"/>
              <w:bottom w:val="single" w:color="auto" w:sz="4" w:space="0"/>
              <w:right w:val="single" w:color="auto" w:sz="4" w:space="0"/>
            </w:tcBorders>
          </w:tcPr>
          <w:p w14:paraId="7E472178">
            <w:pPr>
              <w:spacing w:line="240" w:lineRule="auto"/>
              <w:rPr>
                <w:rFonts w:ascii="Times New Roman" w:hAnsi="Times New Roman" w:eastAsia="Times New Roman"/>
                <w:sz w:val="16"/>
                <w:szCs w:val="16"/>
              </w:rPr>
            </w:pPr>
            <w:r>
              <w:rPr>
                <w:rFonts w:ascii="Times New Roman" w:hAnsi="Times New Roman" w:eastAsia="Times New Roman"/>
                <w:sz w:val="16"/>
                <w:szCs w:val="16"/>
              </w:rPr>
              <w:t>Vertical sides of column</w:t>
            </w:r>
          </w:p>
        </w:tc>
        <w:tc>
          <w:tcPr>
            <w:tcW w:w="960" w:type="dxa"/>
            <w:tcBorders>
              <w:top w:val="nil"/>
              <w:left w:val="nil"/>
              <w:bottom w:val="single" w:color="auto" w:sz="4" w:space="0"/>
              <w:right w:val="single" w:color="auto" w:sz="4" w:space="0"/>
            </w:tcBorders>
          </w:tcPr>
          <w:p w14:paraId="09DC058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58CD25D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w:t>
            </w:r>
          </w:p>
        </w:tc>
        <w:tc>
          <w:tcPr>
            <w:tcW w:w="1900" w:type="dxa"/>
            <w:tcBorders>
              <w:top w:val="nil"/>
              <w:left w:val="nil"/>
              <w:bottom w:val="single" w:color="auto" w:sz="4" w:space="0"/>
              <w:right w:val="single" w:color="auto" w:sz="4" w:space="0"/>
            </w:tcBorders>
          </w:tcPr>
          <w:p w14:paraId="5132B25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850.00 </w:t>
            </w:r>
          </w:p>
        </w:tc>
        <w:tc>
          <w:tcPr>
            <w:tcW w:w="1806" w:type="dxa"/>
            <w:tcBorders>
              <w:top w:val="nil"/>
              <w:left w:val="nil"/>
              <w:bottom w:val="single" w:color="auto" w:sz="4" w:space="0"/>
              <w:right w:val="single" w:color="auto" w:sz="8" w:space="0"/>
            </w:tcBorders>
          </w:tcPr>
          <w:p w14:paraId="20F023F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9,350.00 </w:t>
            </w:r>
          </w:p>
        </w:tc>
      </w:tr>
      <w:tr w14:paraId="74EAD98E">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9E85F5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29DF15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0401F3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6FAA34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8569F0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E20A1C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D00894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0A9187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21B8AA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5A22BC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975B98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45C044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91DF30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AF0D6D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89FB57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202AC4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B97927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0DA5F9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49293A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636448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79E6ACA">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346F25D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70A7475">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Wrot Formwork - Class F3 Finish:-</w:t>
            </w:r>
          </w:p>
        </w:tc>
        <w:tc>
          <w:tcPr>
            <w:tcW w:w="960" w:type="dxa"/>
            <w:tcBorders>
              <w:top w:val="nil"/>
              <w:left w:val="nil"/>
              <w:bottom w:val="single" w:color="auto" w:sz="4" w:space="0"/>
              <w:right w:val="single" w:color="auto" w:sz="4" w:space="0"/>
            </w:tcBorders>
          </w:tcPr>
          <w:p w14:paraId="5722627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D27CD9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B06DE5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18C8A3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C550BE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373C44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B3E1CE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8E8AC5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127F28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48EE63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9221A3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18071F3">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15B62E7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1.27</w:t>
            </w:r>
          </w:p>
        </w:tc>
        <w:tc>
          <w:tcPr>
            <w:tcW w:w="3144" w:type="dxa"/>
            <w:tcBorders>
              <w:top w:val="nil"/>
              <w:left w:val="nil"/>
              <w:bottom w:val="single" w:color="auto" w:sz="4" w:space="0"/>
              <w:right w:val="single" w:color="auto" w:sz="4" w:space="0"/>
            </w:tcBorders>
          </w:tcPr>
          <w:p w14:paraId="0920DF1A">
            <w:pPr>
              <w:spacing w:line="240" w:lineRule="auto"/>
              <w:rPr>
                <w:rFonts w:ascii="Times New Roman" w:hAnsi="Times New Roman" w:eastAsia="Times New Roman"/>
                <w:sz w:val="16"/>
                <w:szCs w:val="16"/>
              </w:rPr>
            </w:pPr>
            <w:r>
              <w:rPr>
                <w:rFonts w:ascii="Times New Roman" w:hAnsi="Times New Roman" w:eastAsia="Times New Roman"/>
                <w:sz w:val="16"/>
                <w:szCs w:val="16"/>
              </w:rPr>
              <w:t>Edges of beds, pavings, plinths and risers of steps not exceeding 300mm wide.</w:t>
            </w:r>
          </w:p>
        </w:tc>
        <w:tc>
          <w:tcPr>
            <w:tcW w:w="960" w:type="dxa"/>
            <w:tcBorders>
              <w:top w:val="nil"/>
              <w:left w:val="nil"/>
              <w:bottom w:val="single" w:color="auto" w:sz="4" w:space="0"/>
              <w:right w:val="single" w:color="auto" w:sz="4" w:space="0"/>
            </w:tcBorders>
          </w:tcPr>
          <w:p w14:paraId="4D1B9C7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374D9D8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65</w:t>
            </w:r>
          </w:p>
        </w:tc>
        <w:tc>
          <w:tcPr>
            <w:tcW w:w="1900" w:type="dxa"/>
            <w:tcBorders>
              <w:top w:val="nil"/>
              <w:left w:val="nil"/>
              <w:bottom w:val="single" w:color="auto" w:sz="4" w:space="0"/>
              <w:right w:val="single" w:color="auto" w:sz="4" w:space="0"/>
            </w:tcBorders>
          </w:tcPr>
          <w:p w14:paraId="37A01A6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300.00 </w:t>
            </w:r>
          </w:p>
        </w:tc>
        <w:tc>
          <w:tcPr>
            <w:tcW w:w="1806" w:type="dxa"/>
            <w:tcBorders>
              <w:top w:val="nil"/>
              <w:left w:val="nil"/>
              <w:bottom w:val="single" w:color="auto" w:sz="4" w:space="0"/>
              <w:right w:val="single" w:color="auto" w:sz="8" w:space="0"/>
            </w:tcBorders>
          </w:tcPr>
          <w:p w14:paraId="1421D8A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19,500.00 </w:t>
            </w:r>
          </w:p>
        </w:tc>
      </w:tr>
      <w:tr w14:paraId="3F4BD4E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7A072D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162437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1C2661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9D3A65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7A07E7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31FA00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9D1918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B32CAD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69CE47D">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Walling.</w:t>
            </w:r>
          </w:p>
        </w:tc>
        <w:tc>
          <w:tcPr>
            <w:tcW w:w="960" w:type="dxa"/>
            <w:tcBorders>
              <w:top w:val="nil"/>
              <w:left w:val="nil"/>
              <w:bottom w:val="single" w:color="auto" w:sz="4" w:space="0"/>
              <w:right w:val="single" w:color="auto" w:sz="4" w:space="0"/>
            </w:tcBorders>
          </w:tcPr>
          <w:p w14:paraId="0BF65A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4F487A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4051FE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3A4F18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B97D37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7C862D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D85F0C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67223F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3DA53E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9D1C65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FB205D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2896F5B">
        <w:tblPrEx>
          <w:tblCellMar>
            <w:top w:w="0" w:type="dxa"/>
            <w:left w:w="108" w:type="dxa"/>
            <w:bottom w:w="0" w:type="dxa"/>
            <w:right w:w="108" w:type="dxa"/>
          </w:tblCellMar>
        </w:tblPrEx>
        <w:trPr>
          <w:trHeight w:val="2835" w:hRule="atLeast"/>
        </w:trPr>
        <w:tc>
          <w:tcPr>
            <w:tcW w:w="576" w:type="dxa"/>
            <w:tcBorders>
              <w:top w:val="nil"/>
              <w:left w:val="single" w:color="auto" w:sz="8" w:space="0"/>
              <w:bottom w:val="single" w:color="auto" w:sz="4" w:space="0"/>
              <w:right w:val="single" w:color="auto" w:sz="4" w:space="0"/>
            </w:tcBorders>
          </w:tcPr>
          <w:p w14:paraId="2A98508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0560BC8">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Solid Concrete Block Walling With Concrete Blocks to BS 2028, Type "A" with Minimum Crushing Strength of 3.7N/mm</w:t>
            </w:r>
            <w:r>
              <w:rPr>
                <w:rFonts w:ascii="Times New Roman" w:hAnsi="Times New Roman" w:eastAsia="Times New Roman"/>
                <w:b/>
                <w:bCs/>
                <w:sz w:val="16"/>
                <w:szCs w:val="16"/>
                <w:u w:val="single"/>
                <w:vertAlign w:val="superscript"/>
              </w:rPr>
              <w:t>2</w:t>
            </w:r>
            <w:r>
              <w:rPr>
                <w:rFonts w:ascii="Times New Roman" w:hAnsi="Times New Roman" w:eastAsia="Times New Roman"/>
                <w:b/>
                <w:bCs/>
                <w:sz w:val="16"/>
                <w:szCs w:val="16"/>
                <w:u w:val="single"/>
              </w:rPr>
              <w:t xml:space="preserve"> at 28 Days, Reinforced with 20 swg Hoop Iron at alternate course, and Bedded, Jointed and Pointed in Cement Mortar (1:4):-</w:t>
            </w:r>
          </w:p>
        </w:tc>
        <w:tc>
          <w:tcPr>
            <w:tcW w:w="960" w:type="dxa"/>
            <w:tcBorders>
              <w:top w:val="nil"/>
              <w:left w:val="nil"/>
              <w:bottom w:val="single" w:color="auto" w:sz="4" w:space="0"/>
              <w:right w:val="single" w:color="auto" w:sz="4" w:space="0"/>
            </w:tcBorders>
          </w:tcPr>
          <w:p w14:paraId="700ECF1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32BCAF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215903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04B445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A99A8CE">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D81E74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B9253F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7AB843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9FC243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9075EC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ACCB71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87C322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3EDB59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1.28</w:t>
            </w:r>
          </w:p>
        </w:tc>
        <w:tc>
          <w:tcPr>
            <w:tcW w:w="3144" w:type="dxa"/>
            <w:tcBorders>
              <w:top w:val="nil"/>
              <w:left w:val="nil"/>
              <w:bottom w:val="single" w:color="auto" w:sz="4" w:space="0"/>
              <w:right w:val="single" w:color="auto" w:sz="4" w:space="0"/>
            </w:tcBorders>
          </w:tcPr>
          <w:p w14:paraId="215C11A9">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200 mm Walling </w:t>
            </w:r>
          </w:p>
        </w:tc>
        <w:tc>
          <w:tcPr>
            <w:tcW w:w="960" w:type="dxa"/>
            <w:tcBorders>
              <w:top w:val="nil"/>
              <w:left w:val="nil"/>
              <w:bottom w:val="single" w:color="auto" w:sz="4" w:space="0"/>
              <w:right w:val="single" w:color="auto" w:sz="4" w:space="0"/>
            </w:tcBorders>
          </w:tcPr>
          <w:p w14:paraId="641E55E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7AD1C8F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40</w:t>
            </w:r>
          </w:p>
        </w:tc>
        <w:tc>
          <w:tcPr>
            <w:tcW w:w="1900" w:type="dxa"/>
            <w:tcBorders>
              <w:top w:val="nil"/>
              <w:left w:val="nil"/>
              <w:bottom w:val="single" w:color="auto" w:sz="4" w:space="0"/>
              <w:right w:val="single" w:color="auto" w:sz="4" w:space="0"/>
            </w:tcBorders>
          </w:tcPr>
          <w:p w14:paraId="5D17B45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4,500.00 </w:t>
            </w:r>
          </w:p>
        </w:tc>
        <w:tc>
          <w:tcPr>
            <w:tcW w:w="1806" w:type="dxa"/>
            <w:tcBorders>
              <w:top w:val="nil"/>
              <w:left w:val="nil"/>
              <w:bottom w:val="single" w:color="auto" w:sz="4" w:space="0"/>
              <w:right w:val="single" w:color="auto" w:sz="8" w:space="0"/>
            </w:tcBorders>
          </w:tcPr>
          <w:p w14:paraId="716DB31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180,000.00 </w:t>
            </w:r>
          </w:p>
        </w:tc>
      </w:tr>
      <w:tr w14:paraId="0D8BCA6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F9CD00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DE51F1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9E6961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E18B70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531D2F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376544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2594D2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6E0F4D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F1D95A7">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Damp-proof course:</w:t>
            </w:r>
          </w:p>
        </w:tc>
        <w:tc>
          <w:tcPr>
            <w:tcW w:w="960" w:type="dxa"/>
            <w:tcBorders>
              <w:top w:val="nil"/>
              <w:left w:val="nil"/>
              <w:bottom w:val="single" w:color="auto" w:sz="4" w:space="0"/>
              <w:right w:val="single" w:color="auto" w:sz="4" w:space="0"/>
            </w:tcBorders>
          </w:tcPr>
          <w:p w14:paraId="6D02EE5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47DCB0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8E1D21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A455EF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C78D8E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6F18AB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B63552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CC6049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3AA1B3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FE4214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DDE192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E1049C9">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1324B0B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19C1DD2">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Bituminous felt damp-proof course as described:-</w:t>
            </w:r>
          </w:p>
        </w:tc>
        <w:tc>
          <w:tcPr>
            <w:tcW w:w="960" w:type="dxa"/>
            <w:tcBorders>
              <w:top w:val="nil"/>
              <w:left w:val="nil"/>
              <w:bottom w:val="single" w:color="auto" w:sz="4" w:space="0"/>
              <w:right w:val="single" w:color="auto" w:sz="4" w:space="0"/>
            </w:tcBorders>
          </w:tcPr>
          <w:p w14:paraId="5D30C3C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2D27B0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FC5F45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83C583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D61FC0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1EB72C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09EC5B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61492C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E5032E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5BD10B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1365B8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D91422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30E2BA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1.29</w:t>
            </w:r>
          </w:p>
        </w:tc>
        <w:tc>
          <w:tcPr>
            <w:tcW w:w="3144" w:type="dxa"/>
            <w:tcBorders>
              <w:top w:val="nil"/>
              <w:left w:val="nil"/>
              <w:bottom w:val="single" w:color="auto" w:sz="4" w:space="0"/>
              <w:right w:val="single" w:color="auto" w:sz="4" w:space="0"/>
            </w:tcBorders>
          </w:tcPr>
          <w:p w14:paraId="11AD655C">
            <w:pPr>
              <w:spacing w:line="240" w:lineRule="auto"/>
              <w:rPr>
                <w:rFonts w:ascii="Times New Roman" w:hAnsi="Times New Roman" w:eastAsia="Times New Roman"/>
                <w:sz w:val="16"/>
                <w:szCs w:val="16"/>
              </w:rPr>
            </w:pPr>
            <w:r>
              <w:rPr>
                <w:rFonts w:ascii="Times New Roman" w:hAnsi="Times New Roman" w:eastAsia="Times New Roman"/>
                <w:sz w:val="16"/>
                <w:szCs w:val="16"/>
              </w:rPr>
              <w:t>200mm Wide under walls</w:t>
            </w:r>
          </w:p>
        </w:tc>
        <w:tc>
          <w:tcPr>
            <w:tcW w:w="960" w:type="dxa"/>
            <w:tcBorders>
              <w:top w:val="nil"/>
              <w:left w:val="nil"/>
              <w:bottom w:val="single" w:color="auto" w:sz="4" w:space="0"/>
              <w:right w:val="single" w:color="auto" w:sz="4" w:space="0"/>
            </w:tcBorders>
          </w:tcPr>
          <w:p w14:paraId="44163D0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2430481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65</w:t>
            </w:r>
          </w:p>
        </w:tc>
        <w:tc>
          <w:tcPr>
            <w:tcW w:w="1900" w:type="dxa"/>
            <w:tcBorders>
              <w:top w:val="nil"/>
              <w:left w:val="nil"/>
              <w:bottom w:val="single" w:color="auto" w:sz="4" w:space="0"/>
              <w:right w:val="single" w:color="auto" w:sz="4" w:space="0"/>
            </w:tcBorders>
          </w:tcPr>
          <w:p w14:paraId="6B4AF25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750.00 </w:t>
            </w:r>
          </w:p>
        </w:tc>
        <w:tc>
          <w:tcPr>
            <w:tcW w:w="1806" w:type="dxa"/>
            <w:tcBorders>
              <w:top w:val="nil"/>
              <w:left w:val="nil"/>
              <w:bottom w:val="single" w:color="auto" w:sz="4" w:space="0"/>
              <w:right w:val="single" w:color="auto" w:sz="8" w:space="0"/>
            </w:tcBorders>
          </w:tcPr>
          <w:p w14:paraId="35411A0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48,750.00 </w:t>
            </w:r>
          </w:p>
        </w:tc>
      </w:tr>
      <w:tr w14:paraId="04192B8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8A3E5C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2B2D6A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1E2FE2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C3CB3F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FD12BD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68B2BB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61F381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4A7B34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1.30</w:t>
            </w:r>
          </w:p>
        </w:tc>
        <w:tc>
          <w:tcPr>
            <w:tcW w:w="3144" w:type="dxa"/>
            <w:tcBorders>
              <w:top w:val="nil"/>
              <w:left w:val="nil"/>
              <w:bottom w:val="single" w:color="auto" w:sz="4" w:space="0"/>
              <w:right w:val="single" w:color="auto" w:sz="4" w:space="0"/>
            </w:tcBorders>
          </w:tcPr>
          <w:p w14:paraId="4095B7CF">
            <w:pPr>
              <w:spacing w:line="240" w:lineRule="auto"/>
              <w:rPr>
                <w:rFonts w:ascii="Times New Roman" w:hAnsi="Times New Roman" w:eastAsia="Times New Roman"/>
                <w:sz w:val="16"/>
                <w:szCs w:val="16"/>
              </w:rPr>
            </w:pPr>
            <w:r>
              <w:rPr>
                <w:rFonts w:ascii="Times New Roman" w:hAnsi="Times New Roman" w:eastAsia="Times New Roman"/>
                <w:sz w:val="16"/>
                <w:szCs w:val="16"/>
              </w:rPr>
              <w:t>100mm Wide under walls</w:t>
            </w:r>
          </w:p>
        </w:tc>
        <w:tc>
          <w:tcPr>
            <w:tcW w:w="960" w:type="dxa"/>
            <w:tcBorders>
              <w:top w:val="nil"/>
              <w:left w:val="nil"/>
              <w:bottom w:val="single" w:color="auto" w:sz="4" w:space="0"/>
              <w:right w:val="single" w:color="auto" w:sz="4" w:space="0"/>
            </w:tcBorders>
          </w:tcPr>
          <w:p w14:paraId="4AB9543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42DFCD6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w:t>
            </w:r>
          </w:p>
        </w:tc>
        <w:tc>
          <w:tcPr>
            <w:tcW w:w="1900" w:type="dxa"/>
            <w:tcBorders>
              <w:top w:val="nil"/>
              <w:left w:val="nil"/>
              <w:bottom w:val="single" w:color="auto" w:sz="4" w:space="0"/>
              <w:right w:val="single" w:color="auto" w:sz="4" w:space="0"/>
            </w:tcBorders>
          </w:tcPr>
          <w:p w14:paraId="1ED75D4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750.00 </w:t>
            </w:r>
          </w:p>
        </w:tc>
        <w:tc>
          <w:tcPr>
            <w:tcW w:w="1806" w:type="dxa"/>
            <w:tcBorders>
              <w:top w:val="nil"/>
              <w:left w:val="nil"/>
              <w:bottom w:val="single" w:color="auto" w:sz="4" w:space="0"/>
              <w:right w:val="single" w:color="auto" w:sz="8" w:space="0"/>
            </w:tcBorders>
          </w:tcPr>
          <w:p w14:paraId="47215DF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11,250.00 </w:t>
            </w:r>
          </w:p>
        </w:tc>
      </w:tr>
      <w:tr w14:paraId="320B17F1">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6B7458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FF4672C">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E26F63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7C0D07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B0AEE8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D6E785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2049493F">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6EA241D4">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61C45494">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Sub-Structures</w:t>
            </w:r>
          </w:p>
        </w:tc>
        <w:tc>
          <w:tcPr>
            <w:tcW w:w="960" w:type="dxa"/>
            <w:tcBorders>
              <w:top w:val="nil"/>
              <w:left w:val="nil"/>
              <w:bottom w:val="single" w:color="auto" w:sz="4" w:space="0"/>
              <w:right w:val="single" w:color="auto" w:sz="4" w:space="0"/>
            </w:tcBorders>
          </w:tcPr>
          <w:p w14:paraId="43EDA7A1">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0F449A9E">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55EC4BAE">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65203976">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2,268,800.00 </w:t>
            </w:r>
          </w:p>
        </w:tc>
      </w:tr>
      <w:tr w14:paraId="18EB1E7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68BC68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B4B5427">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3E8175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9D5114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E05412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AA1B6B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0F28E98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EFD67F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A8B59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EE8443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F8E1FB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A64781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B60E47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A536C7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F94443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6093609">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SUPERSTRUCTURE</w:t>
            </w:r>
          </w:p>
        </w:tc>
        <w:tc>
          <w:tcPr>
            <w:tcW w:w="960" w:type="dxa"/>
            <w:tcBorders>
              <w:top w:val="nil"/>
              <w:left w:val="nil"/>
              <w:bottom w:val="single" w:color="auto" w:sz="4" w:space="0"/>
              <w:right w:val="single" w:color="auto" w:sz="4" w:space="0"/>
            </w:tcBorders>
          </w:tcPr>
          <w:p w14:paraId="0A6AEB7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2D8C35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0CA016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0A3788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DC499F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D741AF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A3C6A5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AC8BDA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21FDFD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BDC36C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A2DE55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772BDBA">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2A5384A1">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2</w:t>
            </w:r>
          </w:p>
        </w:tc>
        <w:tc>
          <w:tcPr>
            <w:tcW w:w="3144" w:type="dxa"/>
            <w:tcBorders>
              <w:top w:val="nil"/>
              <w:left w:val="nil"/>
              <w:bottom w:val="single" w:color="auto" w:sz="4" w:space="0"/>
              <w:right w:val="single" w:color="auto" w:sz="4" w:space="0"/>
            </w:tcBorders>
          </w:tcPr>
          <w:p w14:paraId="6113DD8B">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CONCRETE, FORMWORK, REINFORCEMENT</w:t>
            </w:r>
          </w:p>
        </w:tc>
        <w:tc>
          <w:tcPr>
            <w:tcW w:w="960" w:type="dxa"/>
            <w:tcBorders>
              <w:top w:val="nil"/>
              <w:left w:val="nil"/>
              <w:bottom w:val="single" w:color="auto" w:sz="4" w:space="0"/>
              <w:right w:val="single" w:color="auto" w:sz="4" w:space="0"/>
            </w:tcBorders>
          </w:tcPr>
          <w:p w14:paraId="5226FB2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C7E095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A3855D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E413A9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81C084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7E56BF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76D174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F22485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13D499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73D94A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07CA03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E9DCA01">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36761D2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C4A2694">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Guaranteed Strength Reinforced Concrete Class 25/20mm as Described in:</w:t>
            </w:r>
          </w:p>
        </w:tc>
        <w:tc>
          <w:tcPr>
            <w:tcW w:w="960" w:type="dxa"/>
            <w:tcBorders>
              <w:top w:val="nil"/>
              <w:left w:val="nil"/>
              <w:bottom w:val="single" w:color="auto" w:sz="4" w:space="0"/>
              <w:right w:val="single" w:color="auto" w:sz="4" w:space="0"/>
            </w:tcBorders>
          </w:tcPr>
          <w:p w14:paraId="73B6F6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D26D3D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599AFF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3FFFD1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ADB79C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65B4FF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818B5F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70A884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A1AA5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B45F87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65A8CE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108414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0DC235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2.1</w:t>
            </w:r>
          </w:p>
        </w:tc>
        <w:tc>
          <w:tcPr>
            <w:tcW w:w="3144" w:type="dxa"/>
            <w:tcBorders>
              <w:top w:val="nil"/>
              <w:left w:val="nil"/>
              <w:bottom w:val="single" w:color="auto" w:sz="4" w:space="0"/>
              <w:right w:val="single" w:color="auto" w:sz="4" w:space="0"/>
            </w:tcBorders>
          </w:tcPr>
          <w:p w14:paraId="78454640">
            <w:pPr>
              <w:spacing w:line="240" w:lineRule="auto"/>
              <w:rPr>
                <w:rFonts w:ascii="Times New Roman" w:hAnsi="Times New Roman" w:eastAsia="Times New Roman"/>
                <w:sz w:val="16"/>
                <w:szCs w:val="16"/>
              </w:rPr>
            </w:pPr>
            <w:r>
              <w:rPr>
                <w:rFonts w:ascii="Times New Roman" w:hAnsi="Times New Roman" w:eastAsia="Times New Roman"/>
                <w:sz w:val="16"/>
                <w:szCs w:val="16"/>
              </w:rPr>
              <w:t>Ring beams 200x200mm</w:t>
            </w:r>
          </w:p>
        </w:tc>
        <w:tc>
          <w:tcPr>
            <w:tcW w:w="960" w:type="dxa"/>
            <w:tcBorders>
              <w:top w:val="nil"/>
              <w:left w:val="nil"/>
              <w:bottom w:val="single" w:color="auto" w:sz="4" w:space="0"/>
              <w:right w:val="single" w:color="auto" w:sz="4" w:space="0"/>
            </w:tcBorders>
          </w:tcPr>
          <w:p w14:paraId="14A5108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1B7871C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3</w:t>
            </w:r>
          </w:p>
        </w:tc>
        <w:tc>
          <w:tcPr>
            <w:tcW w:w="1900" w:type="dxa"/>
            <w:tcBorders>
              <w:top w:val="nil"/>
              <w:left w:val="nil"/>
              <w:bottom w:val="single" w:color="auto" w:sz="4" w:space="0"/>
              <w:right w:val="single" w:color="auto" w:sz="4" w:space="0"/>
            </w:tcBorders>
          </w:tcPr>
          <w:p w14:paraId="76B090A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18,000.00 </w:t>
            </w:r>
          </w:p>
        </w:tc>
        <w:tc>
          <w:tcPr>
            <w:tcW w:w="1806" w:type="dxa"/>
            <w:tcBorders>
              <w:top w:val="nil"/>
              <w:left w:val="nil"/>
              <w:bottom w:val="single" w:color="auto" w:sz="4" w:space="0"/>
              <w:right w:val="single" w:color="auto" w:sz="8" w:space="0"/>
            </w:tcBorders>
          </w:tcPr>
          <w:p w14:paraId="6EA9BEC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54,000.00 </w:t>
            </w:r>
          </w:p>
        </w:tc>
      </w:tr>
      <w:tr w14:paraId="45940D6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4BD96D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851741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7DFEA4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42BFD2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69B02E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3CB33E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FC8D311">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BD2D70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2.2</w:t>
            </w:r>
          </w:p>
        </w:tc>
        <w:tc>
          <w:tcPr>
            <w:tcW w:w="3144" w:type="dxa"/>
            <w:tcBorders>
              <w:top w:val="nil"/>
              <w:left w:val="nil"/>
              <w:bottom w:val="single" w:color="auto" w:sz="4" w:space="0"/>
              <w:right w:val="single" w:color="auto" w:sz="4" w:space="0"/>
            </w:tcBorders>
          </w:tcPr>
          <w:p w14:paraId="428FDA45">
            <w:pPr>
              <w:spacing w:line="240" w:lineRule="auto"/>
              <w:rPr>
                <w:rFonts w:ascii="Times New Roman" w:hAnsi="Times New Roman" w:eastAsia="Times New Roman"/>
                <w:sz w:val="16"/>
                <w:szCs w:val="16"/>
              </w:rPr>
            </w:pPr>
            <w:r>
              <w:rPr>
                <w:rFonts w:ascii="Times New Roman" w:hAnsi="Times New Roman" w:eastAsia="Times New Roman"/>
                <w:sz w:val="16"/>
                <w:szCs w:val="16"/>
              </w:rPr>
              <w:t>Roof slab 150mm thick</w:t>
            </w:r>
          </w:p>
        </w:tc>
        <w:tc>
          <w:tcPr>
            <w:tcW w:w="960" w:type="dxa"/>
            <w:tcBorders>
              <w:top w:val="nil"/>
              <w:left w:val="nil"/>
              <w:bottom w:val="single" w:color="auto" w:sz="4" w:space="0"/>
              <w:right w:val="single" w:color="auto" w:sz="4" w:space="0"/>
            </w:tcBorders>
          </w:tcPr>
          <w:p w14:paraId="23B561C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007511E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13</w:t>
            </w:r>
          </w:p>
        </w:tc>
        <w:tc>
          <w:tcPr>
            <w:tcW w:w="1900" w:type="dxa"/>
            <w:tcBorders>
              <w:top w:val="nil"/>
              <w:left w:val="nil"/>
              <w:bottom w:val="single" w:color="auto" w:sz="4" w:space="0"/>
              <w:right w:val="single" w:color="auto" w:sz="4" w:space="0"/>
            </w:tcBorders>
          </w:tcPr>
          <w:p w14:paraId="263C48A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18,000.00 </w:t>
            </w:r>
          </w:p>
        </w:tc>
        <w:tc>
          <w:tcPr>
            <w:tcW w:w="1806" w:type="dxa"/>
            <w:tcBorders>
              <w:top w:val="nil"/>
              <w:left w:val="nil"/>
              <w:bottom w:val="single" w:color="auto" w:sz="4" w:space="0"/>
              <w:right w:val="single" w:color="auto" w:sz="8" w:space="0"/>
            </w:tcBorders>
          </w:tcPr>
          <w:p w14:paraId="71BCB71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234,000.00 </w:t>
            </w:r>
          </w:p>
        </w:tc>
      </w:tr>
      <w:tr w14:paraId="550625C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656366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470DCD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8D3EC8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525F67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C6E3ED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C6E0D6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77966C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7E5189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2.4</w:t>
            </w:r>
          </w:p>
        </w:tc>
        <w:tc>
          <w:tcPr>
            <w:tcW w:w="3144" w:type="dxa"/>
            <w:tcBorders>
              <w:top w:val="nil"/>
              <w:left w:val="nil"/>
              <w:bottom w:val="single" w:color="auto" w:sz="4" w:space="0"/>
              <w:right w:val="single" w:color="auto" w:sz="4" w:space="0"/>
            </w:tcBorders>
          </w:tcPr>
          <w:p w14:paraId="5AED4101">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Columns 200x200mm </w:t>
            </w:r>
          </w:p>
        </w:tc>
        <w:tc>
          <w:tcPr>
            <w:tcW w:w="960" w:type="dxa"/>
            <w:tcBorders>
              <w:top w:val="nil"/>
              <w:left w:val="nil"/>
              <w:bottom w:val="single" w:color="auto" w:sz="4" w:space="0"/>
              <w:right w:val="single" w:color="auto" w:sz="4" w:space="0"/>
            </w:tcBorders>
          </w:tcPr>
          <w:p w14:paraId="5AE3AFA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3</w:t>
            </w:r>
          </w:p>
        </w:tc>
        <w:tc>
          <w:tcPr>
            <w:tcW w:w="960" w:type="dxa"/>
            <w:tcBorders>
              <w:top w:val="nil"/>
              <w:left w:val="nil"/>
              <w:bottom w:val="single" w:color="auto" w:sz="4" w:space="0"/>
              <w:right w:val="single" w:color="auto" w:sz="4" w:space="0"/>
            </w:tcBorders>
          </w:tcPr>
          <w:p w14:paraId="6BD5C5B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03101FC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18,000.00 </w:t>
            </w:r>
          </w:p>
        </w:tc>
        <w:tc>
          <w:tcPr>
            <w:tcW w:w="1806" w:type="dxa"/>
            <w:tcBorders>
              <w:top w:val="nil"/>
              <w:left w:val="nil"/>
              <w:bottom w:val="single" w:color="auto" w:sz="4" w:space="0"/>
              <w:right w:val="single" w:color="auto" w:sz="8" w:space="0"/>
            </w:tcBorders>
          </w:tcPr>
          <w:p w14:paraId="1CA0FF9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36,000.00 </w:t>
            </w:r>
          </w:p>
        </w:tc>
      </w:tr>
      <w:tr w14:paraId="42892121">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7697A0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47B10D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0411D8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D17C58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4027A7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E2091D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29B108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1C8D86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12323CA">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Formwork</w:t>
            </w:r>
          </w:p>
        </w:tc>
        <w:tc>
          <w:tcPr>
            <w:tcW w:w="960" w:type="dxa"/>
            <w:tcBorders>
              <w:top w:val="nil"/>
              <w:left w:val="nil"/>
              <w:bottom w:val="single" w:color="auto" w:sz="4" w:space="0"/>
              <w:right w:val="single" w:color="auto" w:sz="4" w:space="0"/>
            </w:tcBorders>
          </w:tcPr>
          <w:p w14:paraId="2C20C89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0BBF1E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53C8C8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EE7EDD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FC451D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1D65F0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807F0F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3B4561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857EE8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06664D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336937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BF8FD69">
        <w:tblPrEx>
          <w:tblCellMar>
            <w:top w:w="0" w:type="dxa"/>
            <w:left w:w="108" w:type="dxa"/>
            <w:bottom w:w="0" w:type="dxa"/>
            <w:right w:w="108" w:type="dxa"/>
          </w:tblCellMar>
        </w:tblPrEx>
        <w:trPr>
          <w:trHeight w:val="1020" w:hRule="atLeast"/>
        </w:trPr>
        <w:tc>
          <w:tcPr>
            <w:tcW w:w="576" w:type="dxa"/>
            <w:tcBorders>
              <w:top w:val="nil"/>
              <w:left w:val="single" w:color="auto" w:sz="8" w:space="0"/>
              <w:bottom w:val="single" w:color="auto" w:sz="4" w:space="0"/>
              <w:right w:val="single" w:color="auto" w:sz="4" w:space="0"/>
            </w:tcBorders>
          </w:tcPr>
          <w:p w14:paraId="49855B0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C013FC2">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 xml:space="preserve">Provide and Fix Shuttering Including Propping, Strutting and Striking, all as Specified </w:t>
            </w:r>
          </w:p>
        </w:tc>
        <w:tc>
          <w:tcPr>
            <w:tcW w:w="960" w:type="dxa"/>
            <w:tcBorders>
              <w:top w:val="nil"/>
              <w:left w:val="nil"/>
              <w:bottom w:val="single" w:color="auto" w:sz="4" w:space="0"/>
              <w:right w:val="single" w:color="auto" w:sz="4" w:space="0"/>
            </w:tcBorders>
          </w:tcPr>
          <w:p w14:paraId="76F7BB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8EAE9D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71A2B1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1F3AB2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948CB9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A1E789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E06063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829240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D57F54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269DC2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22F3D2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D6E675D">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28B841D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FC1E277">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Wrot Formwork - Class F3 Finish :-</w:t>
            </w:r>
          </w:p>
        </w:tc>
        <w:tc>
          <w:tcPr>
            <w:tcW w:w="960" w:type="dxa"/>
            <w:tcBorders>
              <w:top w:val="nil"/>
              <w:left w:val="nil"/>
              <w:bottom w:val="single" w:color="auto" w:sz="4" w:space="0"/>
              <w:right w:val="single" w:color="auto" w:sz="4" w:space="0"/>
            </w:tcBorders>
          </w:tcPr>
          <w:p w14:paraId="0C19CC8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4C7C34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E9ABCF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150A24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6E4358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F80585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9CAD21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4EB4C5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1DCB37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ADCF05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8FCD78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87CE4A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BE712D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2.5</w:t>
            </w:r>
          </w:p>
        </w:tc>
        <w:tc>
          <w:tcPr>
            <w:tcW w:w="3144" w:type="dxa"/>
            <w:tcBorders>
              <w:top w:val="nil"/>
              <w:left w:val="nil"/>
              <w:bottom w:val="single" w:color="auto" w:sz="4" w:space="0"/>
              <w:right w:val="single" w:color="auto" w:sz="4" w:space="0"/>
            </w:tcBorders>
          </w:tcPr>
          <w:p w14:paraId="1ACB0A9E">
            <w:pPr>
              <w:spacing w:line="240" w:lineRule="auto"/>
              <w:rPr>
                <w:rFonts w:ascii="Times New Roman" w:hAnsi="Times New Roman" w:eastAsia="Times New Roman"/>
                <w:sz w:val="16"/>
                <w:szCs w:val="16"/>
              </w:rPr>
            </w:pPr>
            <w:r>
              <w:rPr>
                <w:rFonts w:ascii="Times New Roman" w:hAnsi="Times New Roman" w:eastAsia="Times New Roman"/>
                <w:sz w:val="16"/>
                <w:szCs w:val="16"/>
              </w:rPr>
              <w:t>Roof Slab soffit</w:t>
            </w:r>
          </w:p>
        </w:tc>
        <w:tc>
          <w:tcPr>
            <w:tcW w:w="960" w:type="dxa"/>
            <w:tcBorders>
              <w:top w:val="nil"/>
              <w:left w:val="nil"/>
              <w:bottom w:val="single" w:color="auto" w:sz="4" w:space="0"/>
              <w:right w:val="single" w:color="auto" w:sz="4" w:space="0"/>
            </w:tcBorders>
          </w:tcPr>
          <w:p w14:paraId="7A63059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43D9986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85</w:t>
            </w:r>
          </w:p>
        </w:tc>
        <w:tc>
          <w:tcPr>
            <w:tcW w:w="1900" w:type="dxa"/>
            <w:tcBorders>
              <w:top w:val="nil"/>
              <w:left w:val="nil"/>
              <w:bottom w:val="single" w:color="auto" w:sz="4" w:space="0"/>
              <w:right w:val="single" w:color="auto" w:sz="4" w:space="0"/>
            </w:tcBorders>
          </w:tcPr>
          <w:p w14:paraId="0DB812F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600.00 </w:t>
            </w:r>
          </w:p>
        </w:tc>
        <w:tc>
          <w:tcPr>
            <w:tcW w:w="1806" w:type="dxa"/>
            <w:tcBorders>
              <w:top w:val="nil"/>
              <w:left w:val="nil"/>
              <w:bottom w:val="single" w:color="auto" w:sz="4" w:space="0"/>
              <w:right w:val="single" w:color="auto" w:sz="8" w:space="0"/>
            </w:tcBorders>
          </w:tcPr>
          <w:p w14:paraId="69BC510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51,000.00 </w:t>
            </w:r>
          </w:p>
        </w:tc>
      </w:tr>
      <w:tr w14:paraId="7611463F">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A5C276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C61046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0F360D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3D6647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2D996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0793C7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08C0F9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FC0C57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2.6</w:t>
            </w:r>
          </w:p>
        </w:tc>
        <w:tc>
          <w:tcPr>
            <w:tcW w:w="3144" w:type="dxa"/>
            <w:tcBorders>
              <w:top w:val="nil"/>
              <w:left w:val="nil"/>
              <w:bottom w:val="single" w:color="auto" w:sz="4" w:space="0"/>
              <w:right w:val="single" w:color="auto" w:sz="4" w:space="0"/>
            </w:tcBorders>
          </w:tcPr>
          <w:p w14:paraId="71643354">
            <w:pPr>
              <w:spacing w:line="240" w:lineRule="auto"/>
              <w:rPr>
                <w:rFonts w:ascii="Times New Roman" w:hAnsi="Times New Roman" w:eastAsia="Times New Roman"/>
                <w:sz w:val="16"/>
                <w:szCs w:val="16"/>
              </w:rPr>
            </w:pPr>
            <w:r>
              <w:rPr>
                <w:rFonts w:ascii="Times New Roman" w:hAnsi="Times New Roman" w:eastAsia="Times New Roman"/>
                <w:sz w:val="16"/>
                <w:szCs w:val="16"/>
              </w:rPr>
              <w:t>Ring Beams</w:t>
            </w:r>
          </w:p>
        </w:tc>
        <w:tc>
          <w:tcPr>
            <w:tcW w:w="960" w:type="dxa"/>
            <w:tcBorders>
              <w:top w:val="nil"/>
              <w:left w:val="nil"/>
              <w:bottom w:val="single" w:color="auto" w:sz="4" w:space="0"/>
              <w:right w:val="single" w:color="auto" w:sz="4" w:space="0"/>
            </w:tcBorders>
          </w:tcPr>
          <w:p w14:paraId="2C121A3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4D83D39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25</w:t>
            </w:r>
          </w:p>
        </w:tc>
        <w:tc>
          <w:tcPr>
            <w:tcW w:w="1900" w:type="dxa"/>
            <w:tcBorders>
              <w:top w:val="nil"/>
              <w:left w:val="nil"/>
              <w:bottom w:val="single" w:color="auto" w:sz="4" w:space="0"/>
              <w:right w:val="single" w:color="auto" w:sz="4" w:space="0"/>
            </w:tcBorders>
          </w:tcPr>
          <w:p w14:paraId="5559497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600.00 </w:t>
            </w:r>
          </w:p>
        </w:tc>
        <w:tc>
          <w:tcPr>
            <w:tcW w:w="1806" w:type="dxa"/>
            <w:tcBorders>
              <w:top w:val="nil"/>
              <w:left w:val="nil"/>
              <w:bottom w:val="single" w:color="auto" w:sz="4" w:space="0"/>
              <w:right w:val="single" w:color="auto" w:sz="8" w:space="0"/>
            </w:tcBorders>
          </w:tcPr>
          <w:p w14:paraId="5D64D6A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15,000.00 </w:t>
            </w:r>
          </w:p>
        </w:tc>
      </w:tr>
      <w:tr w14:paraId="7B25BC2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83E4FC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98627F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AB7B19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425C0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7620B6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75BE32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F769D2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1B0CF4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2.7</w:t>
            </w:r>
          </w:p>
        </w:tc>
        <w:tc>
          <w:tcPr>
            <w:tcW w:w="3144" w:type="dxa"/>
            <w:tcBorders>
              <w:top w:val="nil"/>
              <w:left w:val="nil"/>
              <w:bottom w:val="single" w:color="auto" w:sz="4" w:space="0"/>
              <w:right w:val="single" w:color="auto" w:sz="4" w:space="0"/>
            </w:tcBorders>
          </w:tcPr>
          <w:p w14:paraId="270CDB31">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Column </w:t>
            </w:r>
          </w:p>
        </w:tc>
        <w:tc>
          <w:tcPr>
            <w:tcW w:w="960" w:type="dxa"/>
            <w:tcBorders>
              <w:top w:val="nil"/>
              <w:left w:val="nil"/>
              <w:bottom w:val="single" w:color="auto" w:sz="4" w:space="0"/>
              <w:right w:val="single" w:color="auto" w:sz="4" w:space="0"/>
            </w:tcBorders>
          </w:tcPr>
          <w:p w14:paraId="3341BF2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7C4EA7D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w:t>
            </w:r>
          </w:p>
        </w:tc>
        <w:tc>
          <w:tcPr>
            <w:tcW w:w="1900" w:type="dxa"/>
            <w:tcBorders>
              <w:top w:val="nil"/>
              <w:left w:val="nil"/>
              <w:bottom w:val="single" w:color="auto" w:sz="4" w:space="0"/>
              <w:right w:val="single" w:color="auto" w:sz="4" w:space="0"/>
            </w:tcBorders>
          </w:tcPr>
          <w:p w14:paraId="70899BD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600.00 </w:t>
            </w:r>
          </w:p>
        </w:tc>
        <w:tc>
          <w:tcPr>
            <w:tcW w:w="1806" w:type="dxa"/>
            <w:tcBorders>
              <w:top w:val="nil"/>
              <w:left w:val="nil"/>
              <w:bottom w:val="single" w:color="auto" w:sz="4" w:space="0"/>
              <w:right w:val="single" w:color="auto" w:sz="8" w:space="0"/>
            </w:tcBorders>
          </w:tcPr>
          <w:p w14:paraId="6A2BDAD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7,200.00 </w:t>
            </w:r>
          </w:p>
        </w:tc>
      </w:tr>
      <w:tr w14:paraId="2003A6C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477CC7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2EBCF4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B7B3C0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1BB51C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A3C383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344C34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559FF1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722C88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C74F7BC">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Reinforcement</w:t>
            </w:r>
          </w:p>
        </w:tc>
        <w:tc>
          <w:tcPr>
            <w:tcW w:w="960" w:type="dxa"/>
            <w:tcBorders>
              <w:top w:val="nil"/>
              <w:left w:val="nil"/>
              <w:bottom w:val="single" w:color="auto" w:sz="4" w:space="0"/>
              <w:right w:val="single" w:color="auto" w:sz="4" w:space="0"/>
            </w:tcBorders>
          </w:tcPr>
          <w:p w14:paraId="4E509C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58ACCE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8E2F00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51F85B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00EFE3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89C235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904C8D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799292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9CDC47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5F6111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BFBA5A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4C30113">
        <w:tblPrEx>
          <w:tblCellMar>
            <w:top w:w="0" w:type="dxa"/>
            <w:left w:w="108" w:type="dxa"/>
            <w:bottom w:w="0" w:type="dxa"/>
            <w:right w:w="108" w:type="dxa"/>
          </w:tblCellMar>
        </w:tblPrEx>
        <w:trPr>
          <w:trHeight w:val="1530" w:hRule="atLeast"/>
        </w:trPr>
        <w:tc>
          <w:tcPr>
            <w:tcW w:w="576" w:type="dxa"/>
            <w:tcBorders>
              <w:top w:val="nil"/>
              <w:left w:val="single" w:color="auto" w:sz="8" w:space="0"/>
              <w:bottom w:val="single" w:color="auto" w:sz="4" w:space="0"/>
              <w:right w:val="single" w:color="auto" w:sz="4" w:space="0"/>
            </w:tcBorders>
          </w:tcPr>
          <w:p w14:paraId="0A3C4CB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656F6BF">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Provide and Fix High Tensile Steel Reinforcement to SRN 127 Including Cutting, Bending, Propping with Spacers and Tying as Specified :-</w:t>
            </w:r>
          </w:p>
        </w:tc>
        <w:tc>
          <w:tcPr>
            <w:tcW w:w="960" w:type="dxa"/>
            <w:tcBorders>
              <w:top w:val="nil"/>
              <w:left w:val="nil"/>
              <w:bottom w:val="single" w:color="auto" w:sz="4" w:space="0"/>
              <w:right w:val="single" w:color="auto" w:sz="4" w:space="0"/>
            </w:tcBorders>
          </w:tcPr>
          <w:p w14:paraId="1144CC1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755510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F11B9B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60E118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252087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80CDCA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07955E6">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 </w:t>
            </w:r>
          </w:p>
        </w:tc>
        <w:tc>
          <w:tcPr>
            <w:tcW w:w="960" w:type="dxa"/>
            <w:tcBorders>
              <w:top w:val="nil"/>
              <w:left w:val="nil"/>
              <w:bottom w:val="single" w:color="auto" w:sz="4" w:space="0"/>
              <w:right w:val="single" w:color="auto" w:sz="4" w:space="0"/>
            </w:tcBorders>
          </w:tcPr>
          <w:p w14:paraId="39E1159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B07500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295D92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9B8D1B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6F60976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01B6C7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2.9</w:t>
            </w:r>
          </w:p>
        </w:tc>
        <w:tc>
          <w:tcPr>
            <w:tcW w:w="3144" w:type="dxa"/>
            <w:tcBorders>
              <w:top w:val="nil"/>
              <w:left w:val="nil"/>
              <w:bottom w:val="single" w:color="auto" w:sz="4" w:space="0"/>
              <w:right w:val="single" w:color="auto" w:sz="4" w:space="0"/>
            </w:tcBorders>
          </w:tcPr>
          <w:p w14:paraId="571BC8CC">
            <w:pPr>
              <w:spacing w:line="240" w:lineRule="auto"/>
              <w:rPr>
                <w:rFonts w:ascii="Times New Roman" w:hAnsi="Times New Roman" w:eastAsia="Times New Roman"/>
                <w:sz w:val="16"/>
                <w:szCs w:val="16"/>
              </w:rPr>
            </w:pPr>
            <w:r>
              <w:rPr>
                <w:rFonts w:ascii="Times New Roman" w:hAnsi="Times New Roman" w:eastAsia="Times New Roman"/>
                <w:sz w:val="16"/>
                <w:szCs w:val="16"/>
              </w:rPr>
              <w:t>Reinforcement, all diameters</w:t>
            </w:r>
          </w:p>
        </w:tc>
        <w:tc>
          <w:tcPr>
            <w:tcW w:w="960" w:type="dxa"/>
            <w:tcBorders>
              <w:top w:val="nil"/>
              <w:left w:val="nil"/>
              <w:bottom w:val="single" w:color="auto" w:sz="4" w:space="0"/>
              <w:right w:val="single" w:color="auto" w:sz="4" w:space="0"/>
            </w:tcBorders>
          </w:tcPr>
          <w:p w14:paraId="5FF32F3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Kg</w:t>
            </w:r>
          </w:p>
        </w:tc>
        <w:tc>
          <w:tcPr>
            <w:tcW w:w="960" w:type="dxa"/>
            <w:tcBorders>
              <w:top w:val="nil"/>
              <w:left w:val="nil"/>
              <w:bottom w:val="single" w:color="auto" w:sz="4" w:space="0"/>
              <w:right w:val="single" w:color="auto" w:sz="4" w:space="0"/>
            </w:tcBorders>
          </w:tcPr>
          <w:p w14:paraId="0F6773E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1,800</w:t>
            </w:r>
          </w:p>
        </w:tc>
        <w:tc>
          <w:tcPr>
            <w:tcW w:w="1900" w:type="dxa"/>
            <w:tcBorders>
              <w:top w:val="nil"/>
              <w:left w:val="nil"/>
              <w:bottom w:val="single" w:color="auto" w:sz="4" w:space="0"/>
              <w:right w:val="single" w:color="auto" w:sz="4" w:space="0"/>
            </w:tcBorders>
          </w:tcPr>
          <w:p w14:paraId="0ED52DD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300.00 </w:t>
            </w:r>
          </w:p>
        </w:tc>
        <w:tc>
          <w:tcPr>
            <w:tcW w:w="1806" w:type="dxa"/>
            <w:tcBorders>
              <w:top w:val="nil"/>
              <w:left w:val="nil"/>
              <w:bottom w:val="single" w:color="auto" w:sz="4" w:space="0"/>
              <w:right w:val="single" w:color="auto" w:sz="8" w:space="0"/>
            </w:tcBorders>
          </w:tcPr>
          <w:p w14:paraId="234D812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540,000.00 </w:t>
            </w:r>
          </w:p>
        </w:tc>
      </w:tr>
      <w:tr w14:paraId="03A5B3C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79D02E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D85A35A">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AD86D1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BDDEA7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B77B7C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AD25F7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16EF18C7">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06EE6E5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40C27C0">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Super-Structures</w:t>
            </w:r>
          </w:p>
        </w:tc>
        <w:tc>
          <w:tcPr>
            <w:tcW w:w="960" w:type="dxa"/>
            <w:tcBorders>
              <w:top w:val="nil"/>
              <w:left w:val="nil"/>
              <w:bottom w:val="single" w:color="auto" w:sz="4" w:space="0"/>
              <w:right w:val="single" w:color="auto" w:sz="4" w:space="0"/>
            </w:tcBorders>
          </w:tcPr>
          <w:p w14:paraId="615D94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E27B12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3C2EEB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84CD75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937,200.00 </w:t>
            </w:r>
          </w:p>
        </w:tc>
      </w:tr>
      <w:tr w14:paraId="7D55486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D9645C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9001267">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52CEBFE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0A5BE0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1776DE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DC0179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2E321AF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BC69352">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3</w:t>
            </w:r>
          </w:p>
        </w:tc>
        <w:tc>
          <w:tcPr>
            <w:tcW w:w="3144" w:type="dxa"/>
            <w:tcBorders>
              <w:top w:val="nil"/>
              <w:left w:val="nil"/>
              <w:bottom w:val="single" w:color="auto" w:sz="4" w:space="0"/>
              <w:right w:val="single" w:color="auto" w:sz="4" w:space="0"/>
            </w:tcBorders>
          </w:tcPr>
          <w:p w14:paraId="1C0E81CA">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WALLING</w:t>
            </w:r>
          </w:p>
        </w:tc>
        <w:tc>
          <w:tcPr>
            <w:tcW w:w="960" w:type="dxa"/>
            <w:tcBorders>
              <w:top w:val="nil"/>
              <w:left w:val="nil"/>
              <w:bottom w:val="single" w:color="auto" w:sz="4" w:space="0"/>
              <w:right w:val="single" w:color="auto" w:sz="4" w:space="0"/>
            </w:tcBorders>
          </w:tcPr>
          <w:p w14:paraId="7395E36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842732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849C0E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079DD7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D1FDB0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3421FF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AD05E0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6B5227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DF71D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C2DA01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D62A9F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BAA2BC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A23458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62F5B0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External Walls</w:t>
            </w:r>
          </w:p>
        </w:tc>
        <w:tc>
          <w:tcPr>
            <w:tcW w:w="960" w:type="dxa"/>
            <w:tcBorders>
              <w:top w:val="nil"/>
              <w:left w:val="nil"/>
              <w:bottom w:val="single" w:color="auto" w:sz="4" w:space="0"/>
              <w:right w:val="single" w:color="auto" w:sz="4" w:space="0"/>
            </w:tcBorders>
          </w:tcPr>
          <w:p w14:paraId="41C3251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67269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E51A8C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DC4A2E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C8A64A2">
        <w:tblPrEx>
          <w:tblCellMar>
            <w:top w:w="0" w:type="dxa"/>
            <w:left w:w="108" w:type="dxa"/>
            <w:bottom w:w="0" w:type="dxa"/>
            <w:right w:w="108" w:type="dxa"/>
          </w:tblCellMar>
        </w:tblPrEx>
        <w:trPr>
          <w:trHeight w:val="2835" w:hRule="atLeast"/>
        </w:trPr>
        <w:tc>
          <w:tcPr>
            <w:tcW w:w="576" w:type="dxa"/>
            <w:tcBorders>
              <w:top w:val="nil"/>
              <w:left w:val="single" w:color="auto" w:sz="8" w:space="0"/>
              <w:bottom w:val="single" w:color="auto" w:sz="4" w:space="0"/>
              <w:right w:val="single" w:color="auto" w:sz="4" w:space="0"/>
            </w:tcBorders>
          </w:tcPr>
          <w:p w14:paraId="0A5DF2B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13541A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Solid Concrete Block Walling With Concrete Blocks to BS 2028, Type "A" with Minimum Crushing Strength of 3.7N/mm</w:t>
            </w:r>
            <w:r>
              <w:rPr>
                <w:rFonts w:ascii="Times New Roman" w:hAnsi="Times New Roman" w:eastAsia="Times New Roman"/>
                <w:b/>
                <w:bCs/>
                <w:sz w:val="16"/>
                <w:szCs w:val="16"/>
                <w:u w:val="single"/>
                <w:vertAlign w:val="superscript"/>
              </w:rPr>
              <w:t>2</w:t>
            </w:r>
            <w:r>
              <w:rPr>
                <w:rFonts w:ascii="Times New Roman" w:hAnsi="Times New Roman" w:eastAsia="Times New Roman"/>
                <w:b/>
                <w:bCs/>
                <w:sz w:val="16"/>
                <w:szCs w:val="16"/>
                <w:u w:val="single"/>
              </w:rPr>
              <w:t xml:space="preserve"> at 28 Days, Reinforced with 20 swg Hoop Iron at alternate course, and Bedded, Jointed and Pointed in Cement Mortar (1:4):-</w:t>
            </w:r>
          </w:p>
        </w:tc>
        <w:tc>
          <w:tcPr>
            <w:tcW w:w="960" w:type="dxa"/>
            <w:tcBorders>
              <w:top w:val="nil"/>
              <w:left w:val="nil"/>
              <w:bottom w:val="single" w:color="auto" w:sz="4" w:space="0"/>
              <w:right w:val="single" w:color="auto" w:sz="4" w:space="0"/>
            </w:tcBorders>
          </w:tcPr>
          <w:p w14:paraId="03238D9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5FB940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F699C0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1942CE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9716EE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4434F1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53EECD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A1068A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28CAD5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9E3E2C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67F371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6A773C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FB8964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3.1</w:t>
            </w:r>
          </w:p>
        </w:tc>
        <w:tc>
          <w:tcPr>
            <w:tcW w:w="3144" w:type="dxa"/>
            <w:tcBorders>
              <w:top w:val="nil"/>
              <w:left w:val="nil"/>
              <w:bottom w:val="single" w:color="auto" w:sz="4" w:space="0"/>
              <w:right w:val="single" w:color="auto" w:sz="4" w:space="0"/>
            </w:tcBorders>
          </w:tcPr>
          <w:p w14:paraId="576A972F">
            <w:pPr>
              <w:spacing w:line="240" w:lineRule="auto"/>
              <w:rPr>
                <w:rFonts w:ascii="Times New Roman" w:hAnsi="Times New Roman" w:eastAsia="Times New Roman"/>
                <w:sz w:val="16"/>
                <w:szCs w:val="16"/>
              </w:rPr>
            </w:pPr>
            <w:r>
              <w:rPr>
                <w:rFonts w:ascii="Times New Roman" w:hAnsi="Times New Roman" w:eastAsia="Times New Roman"/>
                <w:sz w:val="16"/>
                <w:szCs w:val="16"/>
              </w:rPr>
              <w:t>200mm Thick walling</w:t>
            </w:r>
          </w:p>
        </w:tc>
        <w:tc>
          <w:tcPr>
            <w:tcW w:w="960" w:type="dxa"/>
            <w:tcBorders>
              <w:top w:val="nil"/>
              <w:left w:val="nil"/>
              <w:bottom w:val="single" w:color="auto" w:sz="4" w:space="0"/>
              <w:right w:val="single" w:color="auto" w:sz="4" w:space="0"/>
            </w:tcBorders>
          </w:tcPr>
          <w:p w14:paraId="2F36BB0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61B26E1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115</w:t>
            </w:r>
          </w:p>
        </w:tc>
        <w:tc>
          <w:tcPr>
            <w:tcW w:w="1900" w:type="dxa"/>
            <w:tcBorders>
              <w:top w:val="nil"/>
              <w:left w:val="nil"/>
              <w:bottom w:val="single" w:color="auto" w:sz="4" w:space="0"/>
              <w:right w:val="single" w:color="auto" w:sz="4" w:space="0"/>
            </w:tcBorders>
          </w:tcPr>
          <w:p w14:paraId="15361AB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3,800.00 </w:t>
            </w:r>
          </w:p>
        </w:tc>
        <w:tc>
          <w:tcPr>
            <w:tcW w:w="1806" w:type="dxa"/>
            <w:tcBorders>
              <w:top w:val="nil"/>
              <w:left w:val="nil"/>
              <w:bottom w:val="single" w:color="auto" w:sz="4" w:space="0"/>
              <w:right w:val="single" w:color="auto" w:sz="8" w:space="0"/>
            </w:tcBorders>
          </w:tcPr>
          <w:p w14:paraId="57AB6DF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437,000.00 </w:t>
            </w:r>
          </w:p>
        </w:tc>
      </w:tr>
      <w:tr w14:paraId="6BA33C7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1107BB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0671C0F">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EAC399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02A8DB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B8C0F2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72F462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D92F4C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0540D5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39036D7">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Labours</w:t>
            </w:r>
          </w:p>
        </w:tc>
        <w:tc>
          <w:tcPr>
            <w:tcW w:w="960" w:type="dxa"/>
            <w:tcBorders>
              <w:top w:val="nil"/>
              <w:left w:val="nil"/>
              <w:bottom w:val="single" w:color="auto" w:sz="4" w:space="0"/>
              <w:right w:val="single" w:color="auto" w:sz="4" w:space="0"/>
            </w:tcBorders>
          </w:tcPr>
          <w:p w14:paraId="2E94C28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BF7888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23CF0C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6ED6D9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BD34D6E">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9C577D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793757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F0ECB9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5A667B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BE64A0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CB2A0E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4626A99">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044E3F7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3.2</w:t>
            </w:r>
          </w:p>
        </w:tc>
        <w:tc>
          <w:tcPr>
            <w:tcW w:w="3144" w:type="dxa"/>
            <w:tcBorders>
              <w:top w:val="nil"/>
              <w:left w:val="nil"/>
              <w:bottom w:val="single" w:color="auto" w:sz="4" w:space="0"/>
              <w:right w:val="single" w:color="auto" w:sz="4" w:space="0"/>
            </w:tcBorders>
          </w:tcPr>
          <w:p w14:paraId="48E49AA8">
            <w:pPr>
              <w:spacing w:line="240" w:lineRule="auto"/>
              <w:rPr>
                <w:rFonts w:ascii="Times New Roman" w:hAnsi="Times New Roman" w:eastAsia="Times New Roman"/>
                <w:sz w:val="16"/>
                <w:szCs w:val="16"/>
                <w:u w:val="single"/>
              </w:rPr>
            </w:pPr>
            <w:r>
              <w:rPr>
                <w:rFonts w:ascii="Times New Roman" w:hAnsi="Times New Roman" w:eastAsia="Times New Roman"/>
                <w:sz w:val="16"/>
                <w:szCs w:val="16"/>
                <w:u w:val="single"/>
              </w:rPr>
              <w:t>Extra over</w:t>
            </w:r>
            <w:r>
              <w:rPr>
                <w:rFonts w:ascii="Times New Roman" w:hAnsi="Times New Roman" w:eastAsia="Times New Roman"/>
                <w:sz w:val="16"/>
                <w:szCs w:val="16"/>
              </w:rPr>
              <w:t xml:space="preserve"> walling for ruled horizontal and flush vertical joints</w:t>
            </w:r>
          </w:p>
        </w:tc>
        <w:tc>
          <w:tcPr>
            <w:tcW w:w="960" w:type="dxa"/>
            <w:tcBorders>
              <w:top w:val="nil"/>
              <w:left w:val="nil"/>
              <w:bottom w:val="single" w:color="auto" w:sz="4" w:space="0"/>
              <w:right w:val="single" w:color="auto" w:sz="4" w:space="0"/>
            </w:tcBorders>
          </w:tcPr>
          <w:p w14:paraId="050DF94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041FB40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115</w:t>
            </w:r>
          </w:p>
        </w:tc>
        <w:tc>
          <w:tcPr>
            <w:tcW w:w="1900" w:type="dxa"/>
            <w:tcBorders>
              <w:top w:val="nil"/>
              <w:left w:val="nil"/>
              <w:bottom w:val="single" w:color="auto" w:sz="4" w:space="0"/>
              <w:right w:val="single" w:color="auto" w:sz="4" w:space="0"/>
            </w:tcBorders>
          </w:tcPr>
          <w:p w14:paraId="4F4AA86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150.00 </w:t>
            </w:r>
          </w:p>
        </w:tc>
        <w:tc>
          <w:tcPr>
            <w:tcW w:w="1806" w:type="dxa"/>
            <w:tcBorders>
              <w:top w:val="nil"/>
              <w:left w:val="nil"/>
              <w:bottom w:val="single" w:color="auto" w:sz="4" w:space="0"/>
              <w:right w:val="single" w:color="auto" w:sz="8" w:space="0"/>
            </w:tcBorders>
          </w:tcPr>
          <w:p w14:paraId="7E2BE0F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17,250.00 </w:t>
            </w:r>
          </w:p>
        </w:tc>
      </w:tr>
      <w:tr w14:paraId="6C1FA9A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EA06DF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BA846D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1B3A94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471377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66AD9E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C3659C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1F12E2A">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15BC042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8F8CEBE">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Precast Concrete Louvre Block Walling :-</w:t>
            </w:r>
          </w:p>
        </w:tc>
        <w:tc>
          <w:tcPr>
            <w:tcW w:w="960" w:type="dxa"/>
            <w:tcBorders>
              <w:top w:val="nil"/>
              <w:left w:val="nil"/>
              <w:bottom w:val="single" w:color="auto" w:sz="4" w:space="0"/>
              <w:right w:val="single" w:color="auto" w:sz="4" w:space="0"/>
            </w:tcBorders>
          </w:tcPr>
          <w:p w14:paraId="2C20492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DA3603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FAF124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A5CB74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42F405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C84BA4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AEB1867">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 </w:t>
            </w:r>
          </w:p>
        </w:tc>
        <w:tc>
          <w:tcPr>
            <w:tcW w:w="960" w:type="dxa"/>
            <w:tcBorders>
              <w:top w:val="nil"/>
              <w:left w:val="nil"/>
              <w:bottom w:val="single" w:color="auto" w:sz="4" w:space="0"/>
              <w:right w:val="single" w:color="auto" w:sz="4" w:space="0"/>
            </w:tcBorders>
          </w:tcPr>
          <w:p w14:paraId="1813F36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06D4A9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BD2BDE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ECCDC6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22B597F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3C33D6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417EB1F">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Internal Walls</w:t>
            </w:r>
          </w:p>
        </w:tc>
        <w:tc>
          <w:tcPr>
            <w:tcW w:w="960" w:type="dxa"/>
            <w:tcBorders>
              <w:top w:val="nil"/>
              <w:left w:val="nil"/>
              <w:bottom w:val="single" w:color="auto" w:sz="4" w:space="0"/>
              <w:right w:val="single" w:color="auto" w:sz="4" w:space="0"/>
            </w:tcBorders>
          </w:tcPr>
          <w:p w14:paraId="74A3AF0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67F2E5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8215E1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323E28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F9FF94C">
        <w:tblPrEx>
          <w:tblCellMar>
            <w:top w:w="0" w:type="dxa"/>
            <w:left w:w="108" w:type="dxa"/>
            <w:bottom w:w="0" w:type="dxa"/>
            <w:right w:w="108" w:type="dxa"/>
          </w:tblCellMar>
        </w:tblPrEx>
        <w:trPr>
          <w:trHeight w:val="2835" w:hRule="atLeast"/>
        </w:trPr>
        <w:tc>
          <w:tcPr>
            <w:tcW w:w="576" w:type="dxa"/>
            <w:tcBorders>
              <w:top w:val="nil"/>
              <w:left w:val="single" w:color="auto" w:sz="8" w:space="0"/>
              <w:bottom w:val="single" w:color="auto" w:sz="4" w:space="0"/>
              <w:right w:val="single" w:color="auto" w:sz="4" w:space="0"/>
            </w:tcBorders>
          </w:tcPr>
          <w:p w14:paraId="2B942A3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E252685">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Solid Concrete Block Walling With Concrete Blocks to BS 2028, Type "A" with Minimum Crushing Strength of 3.7N/mm</w:t>
            </w:r>
            <w:r>
              <w:rPr>
                <w:rFonts w:ascii="Times New Roman" w:hAnsi="Times New Roman" w:eastAsia="Times New Roman"/>
                <w:b/>
                <w:bCs/>
                <w:sz w:val="16"/>
                <w:szCs w:val="16"/>
                <w:u w:val="single"/>
                <w:vertAlign w:val="superscript"/>
              </w:rPr>
              <w:t>2</w:t>
            </w:r>
            <w:r>
              <w:rPr>
                <w:rFonts w:ascii="Times New Roman" w:hAnsi="Times New Roman" w:eastAsia="Times New Roman"/>
                <w:b/>
                <w:bCs/>
                <w:sz w:val="16"/>
                <w:szCs w:val="16"/>
                <w:u w:val="single"/>
              </w:rPr>
              <w:t xml:space="preserve"> at 28 Days, Reinforced with 20 swg Hoop Iron at alternate course, and Bedded, Jointed and Pointed in Cement Mortar (1:4):-</w:t>
            </w:r>
          </w:p>
        </w:tc>
        <w:tc>
          <w:tcPr>
            <w:tcW w:w="960" w:type="dxa"/>
            <w:tcBorders>
              <w:top w:val="nil"/>
              <w:left w:val="nil"/>
              <w:bottom w:val="single" w:color="auto" w:sz="4" w:space="0"/>
              <w:right w:val="single" w:color="auto" w:sz="4" w:space="0"/>
            </w:tcBorders>
          </w:tcPr>
          <w:p w14:paraId="2243BDA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BCF2A3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592B66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86C590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9ACEE2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72BA2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FFFB34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F8CA1A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123344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E98635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7274C7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664599F">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A39639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3.3</w:t>
            </w:r>
          </w:p>
        </w:tc>
        <w:tc>
          <w:tcPr>
            <w:tcW w:w="3144" w:type="dxa"/>
            <w:tcBorders>
              <w:top w:val="nil"/>
              <w:left w:val="nil"/>
              <w:bottom w:val="single" w:color="auto" w:sz="4" w:space="0"/>
              <w:right w:val="single" w:color="auto" w:sz="4" w:space="0"/>
            </w:tcBorders>
          </w:tcPr>
          <w:p w14:paraId="56ADDF95">
            <w:pPr>
              <w:spacing w:line="240" w:lineRule="auto"/>
              <w:rPr>
                <w:rFonts w:ascii="Times New Roman" w:hAnsi="Times New Roman" w:eastAsia="Times New Roman"/>
                <w:sz w:val="16"/>
                <w:szCs w:val="16"/>
              </w:rPr>
            </w:pPr>
            <w:r>
              <w:rPr>
                <w:rFonts w:ascii="Times New Roman" w:hAnsi="Times New Roman" w:eastAsia="Times New Roman"/>
                <w:sz w:val="16"/>
                <w:szCs w:val="16"/>
              </w:rPr>
              <w:t>200mm Thick walling</w:t>
            </w:r>
          </w:p>
        </w:tc>
        <w:tc>
          <w:tcPr>
            <w:tcW w:w="960" w:type="dxa"/>
            <w:tcBorders>
              <w:top w:val="nil"/>
              <w:left w:val="nil"/>
              <w:bottom w:val="single" w:color="auto" w:sz="4" w:space="0"/>
              <w:right w:val="single" w:color="auto" w:sz="4" w:space="0"/>
            </w:tcBorders>
          </w:tcPr>
          <w:p w14:paraId="6767478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002FA4D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115</w:t>
            </w:r>
          </w:p>
        </w:tc>
        <w:tc>
          <w:tcPr>
            <w:tcW w:w="1900" w:type="dxa"/>
            <w:tcBorders>
              <w:top w:val="nil"/>
              <w:left w:val="nil"/>
              <w:bottom w:val="single" w:color="auto" w:sz="4" w:space="0"/>
              <w:right w:val="single" w:color="auto" w:sz="4" w:space="0"/>
            </w:tcBorders>
          </w:tcPr>
          <w:p w14:paraId="3ED398A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3,800.00 </w:t>
            </w:r>
          </w:p>
        </w:tc>
        <w:tc>
          <w:tcPr>
            <w:tcW w:w="1806" w:type="dxa"/>
            <w:tcBorders>
              <w:top w:val="nil"/>
              <w:left w:val="nil"/>
              <w:bottom w:val="single" w:color="auto" w:sz="4" w:space="0"/>
              <w:right w:val="single" w:color="auto" w:sz="8" w:space="0"/>
            </w:tcBorders>
          </w:tcPr>
          <w:p w14:paraId="56953D7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437,000.00 </w:t>
            </w:r>
          </w:p>
        </w:tc>
      </w:tr>
      <w:tr w14:paraId="7FAD5D1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2CEFC9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9BDA9F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C2E328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355886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35E16E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BA18D0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AD90B7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8D8A00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3.4</w:t>
            </w:r>
          </w:p>
        </w:tc>
        <w:tc>
          <w:tcPr>
            <w:tcW w:w="3144" w:type="dxa"/>
            <w:tcBorders>
              <w:top w:val="nil"/>
              <w:left w:val="nil"/>
              <w:bottom w:val="single" w:color="auto" w:sz="4" w:space="0"/>
              <w:right w:val="single" w:color="auto" w:sz="4" w:space="0"/>
            </w:tcBorders>
          </w:tcPr>
          <w:p w14:paraId="697F3B2D">
            <w:pPr>
              <w:spacing w:line="240" w:lineRule="auto"/>
              <w:rPr>
                <w:rFonts w:ascii="Times New Roman" w:hAnsi="Times New Roman" w:eastAsia="Times New Roman"/>
                <w:sz w:val="16"/>
                <w:szCs w:val="16"/>
              </w:rPr>
            </w:pPr>
            <w:r>
              <w:rPr>
                <w:rFonts w:ascii="Times New Roman" w:hAnsi="Times New Roman" w:eastAsia="Times New Roman"/>
                <w:sz w:val="16"/>
                <w:szCs w:val="16"/>
              </w:rPr>
              <w:t>100mm Thick walling</w:t>
            </w:r>
          </w:p>
        </w:tc>
        <w:tc>
          <w:tcPr>
            <w:tcW w:w="960" w:type="dxa"/>
            <w:tcBorders>
              <w:top w:val="nil"/>
              <w:left w:val="nil"/>
              <w:bottom w:val="single" w:color="auto" w:sz="4" w:space="0"/>
              <w:right w:val="single" w:color="auto" w:sz="4" w:space="0"/>
            </w:tcBorders>
          </w:tcPr>
          <w:p w14:paraId="510E0E0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233C22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35</w:t>
            </w:r>
          </w:p>
        </w:tc>
        <w:tc>
          <w:tcPr>
            <w:tcW w:w="1900" w:type="dxa"/>
            <w:tcBorders>
              <w:top w:val="nil"/>
              <w:left w:val="nil"/>
              <w:bottom w:val="single" w:color="auto" w:sz="4" w:space="0"/>
              <w:right w:val="single" w:color="auto" w:sz="4" w:space="0"/>
            </w:tcBorders>
          </w:tcPr>
          <w:p w14:paraId="54FE459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1,800.00 </w:t>
            </w:r>
          </w:p>
        </w:tc>
        <w:tc>
          <w:tcPr>
            <w:tcW w:w="1806" w:type="dxa"/>
            <w:tcBorders>
              <w:top w:val="nil"/>
              <w:left w:val="nil"/>
              <w:bottom w:val="single" w:color="auto" w:sz="4" w:space="0"/>
              <w:right w:val="single" w:color="auto" w:sz="8" w:space="0"/>
            </w:tcBorders>
          </w:tcPr>
          <w:p w14:paraId="39C161F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63,000.00 </w:t>
            </w:r>
          </w:p>
        </w:tc>
      </w:tr>
      <w:tr w14:paraId="02BA152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399A4E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85909FD">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AE10C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6A3793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86E066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FF7711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621D9CC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7CA9A57">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728FCA48">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Walling</w:t>
            </w:r>
          </w:p>
        </w:tc>
        <w:tc>
          <w:tcPr>
            <w:tcW w:w="960" w:type="dxa"/>
            <w:tcBorders>
              <w:top w:val="nil"/>
              <w:left w:val="nil"/>
              <w:bottom w:val="single" w:color="auto" w:sz="4" w:space="0"/>
              <w:right w:val="single" w:color="auto" w:sz="4" w:space="0"/>
            </w:tcBorders>
          </w:tcPr>
          <w:p w14:paraId="1150125D">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47DD23F8">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09B9C50D">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36C9430A">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954,250.00 </w:t>
            </w:r>
          </w:p>
        </w:tc>
      </w:tr>
      <w:tr w14:paraId="103A630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513E5A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75DA7A3">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EF4D0A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0F4CE7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AA074A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8A72B7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BD206F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AF58FE8">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4</w:t>
            </w:r>
          </w:p>
        </w:tc>
        <w:tc>
          <w:tcPr>
            <w:tcW w:w="3144" w:type="dxa"/>
            <w:tcBorders>
              <w:top w:val="nil"/>
              <w:left w:val="nil"/>
              <w:bottom w:val="single" w:color="auto" w:sz="4" w:space="0"/>
              <w:right w:val="single" w:color="auto" w:sz="4" w:space="0"/>
            </w:tcBorders>
          </w:tcPr>
          <w:p w14:paraId="299E8FFF">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WATERTANK</w:t>
            </w:r>
          </w:p>
        </w:tc>
        <w:tc>
          <w:tcPr>
            <w:tcW w:w="960" w:type="dxa"/>
            <w:tcBorders>
              <w:top w:val="nil"/>
              <w:left w:val="nil"/>
              <w:bottom w:val="single" w:color="auto" w:sz="4" w:space="0"/>
              <w:right w:val="single" w:color="auto" w:sz="4" w:space="0"/>
            </w:tcBorders>
          </w:tcPr>
          <w:p w14:paraId="430705E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F792CD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6BA962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F1FA38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F6BD21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3628BD8">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569BD44E">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 </w:t>
            </w:r>
          </w:p>
        </w:tc>
        <w:tc>
          <w:tcPr>
            <w:tcW w:w="960" w:type="dxa"/>
            <w:tcBorders>
              <w:top w:val="nil"/>
              <w:left w:val="nil"/>
              <w:bottom w:val="single" w:color="auto" w:sz="4" w:space="0"/>
              <w:right w:val="single" w:color="auto" w:sz="4" w:space="0"/>
            </w:tcBorders>
          </w:tcPr>
          <w:p w14:paraId="332C915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FCFE09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4E7C69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ABB52F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49D41B16">
        <w:tblPrEx>
          <w:tblCellMar>
            <w:top w:w="0" w:type="dxa"/>
            <w:left w:w="108" w:type="dxa"/>
            <w:bottom w:w="0" w:type="dxa"/>
            <w:right w:w="108" w:type="dxa"/>
          </w:tblCellMar>
        </w:tblPrEx>
        <w:trPr>
          <w:trHeight w:val="2295" w:hRule="atLeast"/>
        </w:trPr>
        <w:tc>
          <w:tcPr>
            <w:tcW w:w="576" w:type="dxa"/>
            <w:tcBorders>
              <w:top w:val="nil"/>
              <w:left w:val="single" w:color="auto" w:sz="8" w:space="0"/>
              <w:bottom w:val="single" w:color="auto" w:sz="4" w:space="0"/>
              <w:right w:val="single" w:color="auto" w:sz="4" w:space="0"/>
            </w:tcBorders>
          </w:tcPr>
          <w:p w14:paraId="66675A8D">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2609B4DB">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Supply, deliver and install a cylindrical polyethylene water storage tank, 2000 litres (2,000L capacity), including all fittings, base preparation, hoisting into position, and all necessary connections to inlet/outlet pipes as specified.</w:t>
            </w:r>
          </w:p>
        </w:tc>
        <w:tc>
          <w:tcPr>
            <w:tcW w:w="960" w:type="dxa"/>
            <w:tcBorders>
              <w:top w:val="nil"/>
              <w:left w:val="nil"/>
              <w:bottom w:val="single" w:color="auto" w:sz="4" w:space="0"/>
              <w:right w:val="single" w:color="auto" w:sz="4" w:space="0"/>
            </w:tcBorders>
          </w:tcPr>
          <w:p w14:paraId="5D6C030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3BD431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EC2B20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E33872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88E160E">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91FFF05">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0B874F77">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 </w:t>
            </w:r>
          </w:p>
        </w:tc>
        <w:tc>
          <w:tcPr>
            <w:tcW w:w="960" w:type="dxa"/>
            <w:tcBorders>
              <w:top w:val="nil"/>
              <w:left w:val="nil"/>
              <w:bottom w:val="single" w:color="auto" w:sz="4" w:space="0"/>
              <w:right w:val="single" w:color="auto" w:sz="4" w:space="0"/>
            </w:tcBorders>
          </w:tcPr>
          <w:p w14:paraId="61004A3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32D075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17F4DC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BD7957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06F8B311">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3DF0DB6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4.1</w:t>
            </w:r>
          </w:p>
        </w:tc>
        <w:tc>
          <w:tcPr>
            <w:tcW w:w="3144" w:type="dxa"/>
            <w:tcBorders>
              <w:top w:val="nil"/>
              <w:left w:val="nil"/>
              <w:bottom w:val="single" w:color="auto" w:sz="4" w:space="0"/>
              <w:right w:val="single" w:color="auto" w:sz="4" w:space="0"/>
            </w:tcBorders>
          </w:tcPr>
          <w:p w14:paraId="5C1E8AE2">
            <w:pPr>
              <w:spacing w:line="240" w:lineRule="auto"/>
              <w:rPr>
                <w:rFonts w:ascii="Times New Roman" w:hAnsi="Times New Roman" w:eastAsia="Times New Roman"/>
                <w:sz w:val="16"/>
                <w:szCs w:val="16"/>
              </w:rPr>
            </w:pPr>
            <w:r>
              <w:rPr>
                <w:rFonts w:ascii="Times New Roman" w:hAnsi="Times New Roman" w:eastAsia="Times New Roman"/>
                <w:sz w:val="16"/>
                <w:szCs w:val="16"/>
              </w:rPr>
              <w:t>TopTank Cylindrical Water Storage Tank 2000 Litres</w:t>
            </w:r>
          </w:p>
        </w:tc>
        <w:tc>
          <w:tcPr>
            <w:tcW w:w="960" w:type="dxa"/>
            <w:tcBorders>
              <w:top w:val="nil"/>
              <w:left w:val="nil"/>
              <w:bottom w:val="single" w:color="auto" w:sz="4" w:space="0"/>
              <w:right w:val="single" w:color="auto" w:sz="4" w:space="0"/>
            </w:tcBorders>
          </w:tcPr>
          <w:p w14:paraId="1AC2F95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44E42E0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w:t>
            </w:r>
          </w:p>
        </w:tc>
        <w:tc>
          <w:tcPr>
            <w:tcW w:w="1900" w:type="dxa"/>
            <w:tcBorders>
              <w:top w:val="nil"/>
              <w:left w:val="nil"/>
              <w:bottom w:val="single" w:color="auto" w:sz="4" w:space="0"/>
              <w:right w:val="single" w:color="auto" w:sz="4" w:space="0"/>
            </w:tcBorders>
          </w:tcPr>
          <w:p w14:paraId="00C6E84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25,000.00 </w:t>
            </w:r>
          </w:p>
        </w:tc>
        <w:tc>
          <w:tcPr>
            <w:tcW w:w="1806" w:type="dxa"/>
            <w:tcBorders>
              <w:top w:val="nil"/>
              <w:left w:val="nil"/>
              <w:bottom w:val="single" w:color="auto" w:sz="4" w:space="0"/>
              <w:right w:val="single" w:color="auto" w:sz="8" w:space="0"/>
            </w:tcBorders>
          </w:tcPr>
          <w:p w14:paraId="69CA0A4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25,000.00 </w:t>
            </w:r>
          </w:p>
        </w:tc>
      </w:tr>
      <w:tr w14:paraId="458A81D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DFA426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4D16DB6">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16ABD3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6EA394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2A53A0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7AF277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01A405B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DA3B4A6">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3C563034">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Watertank</w:t>
            </w:r>
          </w:p>
        </w:tc>
        <w:tc>
          <w:tcPr>
            <w:tcW w:w="960" w:type="dxa"/>
            <w:tcBorders>
              <w:top w:val="nil"/>
              <w:left w:val="nil"/>
              <w:bottom w:val="single" w:color="auto" w:sz="4" w:space="0"/>
              <w:right w:val="single" w:color="auto" w:sz="4" w:space="0"/>
            </w:tcBorders>
          </w:tcPr>
          <w:p w14:paraId="518403F2">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50983893">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7ABF3B30">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154E8DD6">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25,000.00 </w:t>
            </w:r>
          </w:p>
        </w:tc>
      </w:tr>
      <w:tr w14:paraId="1CD19E4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C7BEF1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98FDBE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EF4527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E0CBF7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A1A0FD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4DDD21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2A17E13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0B23FDF">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5</w:t>
            </w:r>
          </w:p>
        </w:tc>
        <w:tc>
          <w:tcPr>
            <w:tcW w:w="3144" w:type="dxa"/>
            <w:tcBorders>
              <w:top w:val="nil"/>
              <w:left w:val="nil"/>
              <w:bottom w:val="single" w:color="auto" w:sz="4" w:space="0"/>
              <w:right w:val="single" w:color="auto" w:sz="4" w:space="0"/>
            </w:tcBorders>
          </w:tcPr>
          <w:p w14:paraId="41491053">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METALWORK</w:t>
            </w:r>
          </w:p>
        </w:tc>
        <w:tc>
          <w:tcPr>
            <w:tcW w:w="960" w:type="dxa"/>
            <w:tcBorders>
              <w:top w:val="nil"/>
              <w:left w:val="nil"/>
              <w:bottom w:val="single" w:color="auto" w:sz="4" w:space="0"/>
              <w:right w:val="single" w:color="auto" w:sz="4" w:space="0"/>
            </w:tcBorders>
          </w:tcPr>
          <w:p w14:paraId="2B04107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5F8E75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8D0F33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30E63D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553268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1275C0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E029E7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584E8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6CB2C9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B7A391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AED86A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7DF0AD5">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61F9167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BE02A93">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Pressed Metal Louvre Doors</w:t>
            </w:r>
          </w:p>
        </w:tc>
        <w:tc>
          <w:tcPr>
            <w:tcW w:w="960" w:type="dxa"/>
            <w:tcBorders>
              <w:top w:val="nil"/>
              <w:left w:val="nil"/>
              <w:bottom w:val="single" w:color="auto" w:sz="4" w:space="0"/>
              <w:right w:val="single" w:color="auto" w:sz="4" w:space="0"/>
            </w:tcBorders>
          </w:tcPr>
          <w:p w14:paraId="51CE2497">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6C5E90D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2E8709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A33FF8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B9F323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2AF529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B01249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5E52FE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46BD7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847C0F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3C1C49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B3D76BC">
        <w:tblPrEx>
          <w:tblCellMar>
            <w:top w:w="0" w:type="dxa"/>
            <w:left w:w="108" w:type="dxa"/>
            <w:bottom w:w="0" w:type="dxa"/>
            <w:right w:w="108" w:type="dxa"/>
          </w:tblCellMar>
        </w:tblPrEx>
        <w:trPr>
          <w:trHeight w:val="4335" w:hRule="atLeast"/>
        </w:trPr>
        <w:tc>
          <w:tcPr>
            <w:tcW w:w="576" w:type="dxa"/>
            <w:tcBorders>
              <w:top w:val="nil"/>
              <w:left w:val="single" w:color="auto" w:sz="8" w:space="0"/>
              <w:bottom w:val="single" w:color="auto" w:sz="4" w:space="0"/>
              <w:right w:val="single" w:color="auto" w:sz="4" w:space="0"/>
            </w:tcBorders>
          </w:tcPr>
          <w:p w14:paraId="15572B2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C1F143D">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Supply and Fix the following Pressed Metal Louvre Doors with 100 x 50mm Stiles and Top Rails, 150 x 50mm Middle and Bottom Rails With Pressed Metal Infill Louvres and 100 x 50mm Pressed Metal Frames, Including Hinges, Pad Bolts and Tower Bolts, All To Manufacturer's Details, with three coats gloss paint complete with Opening Accessories Including Bedding and Pointing Around Frames in Cement Mortar:-</w:t>
            </w:r>
          </w:p>
        </w:tc>
        <w:tc>
          <w:tcPr>
            <w:tcW w:w="960" w:type="dxa"/>
            <w:tcBorders>
              <w:top w:val="nil"/>
              <w:left w:val="nil"/>
              <w:bottom w:val="single" w:color="auto" w:sz="4" w:space="0"/>
              <w:right w:val="single" w:color="auto" w:sz="4" w:space="0"/>
            </w:tcBorders>
          </w:tcPr>
          <w:p w14:paraId="5F585448">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5AA62C1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3F74C3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132F71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57748A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000D42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AD89FE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37C68A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6C74D1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6E572C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B70123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B001A4A">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6C2B20D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5.2</w:t>
            </w:r>
          </w:p>
        </w:tc>
        <w:tc>
          <w:tcPr>
            <w:tcW w:w="3144" w:type="dxa"/>
            <w:tcBorders>
              <w:top w:val="nil"/>
              <w:left w:val="nil"/>
              <w:bottom w:val="single" w:color="auto" w:sz="4" w:space="0"/>
              <w:right w:val="single" w:color="auto" w:sz="4" w:space="0"/>
            </w:tcBorders>
          </w:tcPr>
          <w:p w14:paraId="4D986ADE">
            <w:pPr>
              <w:spacing w:line="240" w:lineRule="auto"/>
              <w:rPr>
                <w:rFonts w:ascii="Times New Roman" w:hAnsi="Times New Roman" w:eastAsia="Times New Roman"/>
                <w:sz w:val="16"/>
                <w:szCs w:val="16"/>
              </w:rPr>
            </w:pPr>
            <w:r>
              <w:rPr>
                <w:rFonts w:ascii="Times New Roman" w:hAnsi="Times New Roman" w:eastAsia="Times New Roman"/>
                <w:sz w:val="16"/>
                <w:szCs w:val="16"/>
              </w:rPr>
              <w:t>Single door size 900 x 2400mm high (D2)</w:t>
            </w:r>
          </w:p>
        </w:tc>
        <w:tc>
          <w:tcPr>
            <w:tcW w:w="960" w:type="dxa"/>
            <w:tcBorders>
              <w:top w:val="nil"/>
              <w:left w:val="nil"/>
              <w:bottom w:val="single" w:color="auto" w:sz="4" w:space="0"/>
              <w:right w:val="single" w:color="auto" w:sz="4" w:space="0"/>
            </w:tcBorders>
          </w:tcPr>
          <w:p w14:paraId="6B48A37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5CB4A7E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199A63C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18,000.00 </w:t>
            </w:r>
          </w:p>
        </w:tc>
        <w:tc>
          <w:tcPr>
            <w:tcW w:w="1806" w:type="dxa"/>
            <w:tcBorders>
              <w:top w:val="nil"/>
              <w:left w:val="nil"/>
              <w:bottom w:val="single" w:color="auto" w:sz="4" w:space="0"/>
              <w:right w:val="single" w:color="auto" w:sz="8" w:space="0"/>
            </w:tcBorders>
          </w:tcPr>
          <w:p w14:paraId="52F34DE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36,000.00 </w:t>
            </w:r>
          </w:p>
        </w:tc>
      </w:tr>
      <w:tr w14:paraId="10B46A8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DFD696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DC0F95E">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F2B756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143936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87AF65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0484CB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C87122B">
        <w:tblPrEx>
          <w:tblCellMar>
            <w:top w:w="0" w:type="dxa"/>
            <w:left w:w="108" w:type="dxa"/>
            <w:bottom w:w="0" w:type="dxa"/>
            <w:right w:w="108" w:type="dxa"/>
          </w:tblCellMar>
        </w:tblPrEx>
        <w:trPr>
          <w:trHeight w:val="6375" w:hRule="atLeast"/>
        </w:trPr>
        <w:tc>
          <w:tcPr>
            <w:tcW w:w="576" w:type="dxa"/>
            <w:tcBorders>
              <w:top w:val="nil"/>
              <w:left w:val="single" w:color="auto" w:sz="8" w:space="0"/>
              <w:bottom w:val="single" w:color="auto" w:sz="4" w:space="0"/>
              <w:right w:val="single" w:color="auto" w:sz="4" w:space="0"/>
            </w:tcBorders>
          </w:tcPr>
          <w:p w14:paraId="74680A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661C67B">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u w:val="single"/>
              </w:rPr>
              <w:t>Windows</w:t>
            </w:r>
            <w:r>
              <w:rPr>
                <w:rFonts w:ascii="Times New Roman" w:hAnsi="Times New Roman" w:eastAsia="Times New Roman"/>
                <w:b/>
                <w:bCs/>
                <w:sz w:val="16"/>
                <w:szCs w:val="16"/>
                <w:u w:val="single"/>
              </w:rPr>
              <w:br w:type="textWrapping"/>
            </w:r>
            <w:r>
              <w:rPr>
                <w:rFonts w:ascii="Times New Roman" w:hAnsi="Times New Roman" w:eastAsia="Times New Roman"/>
                <w:b/>
                <w:bCs/>
                <w:sz w:val="16"/>
                <w:szCs w:val="16"/>
              </w:rPr>
              <w:t>Supply and fix the following Standard Section Steel Casement Windows, including 4mm Thick Clear Sheet Glass glazed to steel casements with putty. Complete with opening accessories, including building in lugs ti jambs and head and water-proofing and filing around opening with approved compound; and including burglar proofing fabricated from 12 x 12mm mild steel square bars at 150mm centres vertically and 150mm horizontally and fixed internally to surrounding wall with 12mm mild steel fish-tailed lugs at maximum 600mm centres; all finished with three coats oil paint</w:t>
            </w:r>
          </w:p>
        </w:tc>
        <w:tc>
          <w:tcPr>
            <w:tcW w:w="960" w:type="dxa"/>
            <w:tcBorders>
              <w:top w:val="nil"/>
              <w:left w:val="nil"/>
              <w:bottom w:val="single" w:color="auto" w:sz="4" w:space="0"/>
              <w:right w:val="single" w:color="auto" w:sz="4" w:space="0"/>
            </w:tcBorders>
          </w:tcPr>
          <w:p w14:paraId="000847E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8BB665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85240B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689B8E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C6617AF">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4D0C18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79D43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7443D9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FFC40F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B5545E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166B62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60C296B">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53A76C8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5.4</w:t>
            </w:r>
          </w:p>
        </w:tc>
        <w:tc>
          <w:tcPr>
            <w:tcW w:w="3144" w:type="dxa"/>
            <w:tcBorders>
              <w:top w:val="nil"/>
              <w:left w:val="nil"/>
              <w:bottom w:val="single" w:color="auto" w:sz="4" w:space="0"/>
              <w:right w:val="single" w:color="auto" w:sz="4" w:space="0"/>
            </w:tcBorders>
          </w:tcPr>
          <w:p w14:paraId="58FBD8E0">
            <w:pPr>
              <w:spacing w:line="240" w:lineRule="auto"/>
              <w:rPr>
                <w:rFonts w:ascii="Times New Roman" w:hAnsi="Times New Roman" w:eastAsia="Times New Roman"/>
                <w:sz w:val="16"/>
                <w:szCs w:val="16"/>
              </w:rPr>
            </w:pPr>
            <w:r>
              <w:rPr>
                <w:rFonts w:ascii="Times New Roman" w:hAnsi="Times New Roman" w:eastAsia="Times New Roman"/>
                <w:sz w:val="16"/>
                <w:szCs w:val="16"/>
              </w:rPr>
              <w:t>Steel casement windows size 797mm x 1597mm</w:t>
            </w:r>
          </w:p>
        </w:tc>
        <w:tc>
          <w:tcPr>
            <w:tcW w:w="960" w:type="dxa"/>
            <w:tcBorders>
              <w:top w:val="nil"/>
              <w:left w:val="nil"/>
              <w:bottom w:val="single" w:color="auto" w:sz="4" w:space="0"/>
              <w:right w:val="single" w:color="auto" w:sz="4" w:space="0"/>
            </w:tcBorders>
          </w:tcPr>
          <w:p w14:paraId="50BBF50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55B4A7D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0E99000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8,500.00 </w:t>
            </w:r>
          </w:p>
        </w:tc>
        <w:tc>
          <w:tcPr>
            <w:tcW w:w="1806" w:type="dxa"/>
            <w:tcBorders>
              <w:top w:val="nil"/>
              <w:left w:val="nil"/>
              <w:bottom w:val="single" w:color="auto" w:sz="4" w:space="0"/>
              <w:right w:val="single" w:color="auto" w:sz="8" w:space="0"/>
            </w:tcBorders>
          </w:tcPr>
          <w:p w14:paraId="1EA333E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17,000.00 </w:t>
            </w:r>
          </w:p>
        </w:tc>
      </w:tr>
      <w:tr w14:paraId="1A8768D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B9DE6A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3A68D6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78A8D9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967B5E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ABA07A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DC570D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75E9051">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57CCB2B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5.4</w:t>
            </w:r>
          </w:p>
        </w:tc>
        <w:tc>
          <w:tcPr>
            <w:tcW w:w="3144" w:type="dxa"/>
            <w:tcBorders>
              <w:top w:val="nil"/>
              <w:left w:val="nil"/>
              <w:bottom w:val="single" w:color="auto" w:sz="4" w:space="0"/>
              <w:right w:val="single" w:color="auto" w:sz="4" w:space="0"/>
            </w:tcBorders>
          </w:tcPr>
          <w:p w14:paraId="62F16821">
            <w:pPr>
              <w:spacing w:line="240" w:lineRule="auto"/>
              <w:rPr>
                <w:rFonts w:ascii="Times New Roman" w:hAnsi="Times New Roman" w:eastAsia="Times New Roman"/>
                <w:sz w:val="16"/>
                <w:szCs w:val="16"/>
              </w:rPr>
            </w:pPr>
            <w:r>
              <w:rPr>
                <w:rFonts w:ascii="Times New Roman" w:hAnsi="Times New Roman" w:eastAsia="Times New Roman"/>
                <w:sz w:val="16"/>
                <w:szCs w:val="16"/>
              </w:rPr>
              <w:t>Steel casement windows size 797mm x 1597mm</w:t>
            </w:r>
          </w:p>
        </w:tc>
        <w:tc>
          <w:tcPr>
            <w:tcW w:w="960" w:type="dxa"/>
            <w:tcBorders>
              <w:top w:val="nil"/>
              <w:left w:val="nil"/>
              <w:bottom w:val="single" w:color="auto" w:sz="4" w:space="0"/>
              <w:right w:val="single" w:color="auto" w:sz="4" w:space="0"/>
            </w:tcBorders>
          </w:tcPr>
          <w:p w14:paraId="62349CA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176B2E6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10</w:t>
            </w:r>
          </w:p>
        </w:tc>
        <w:tc>
          <w:tcPr>
            <w:tcW w:w="1900" w:type="dxa"/>
            <w:tcBorders>
              <w:top w:val="nil"/>
              <w:left w:val="nil"/>
              <w:bottom w:val="single" w:color="auto" w:sz="4" w:space="0"/>
              <w:right w:val="single" w:color="auto" w:sz="4" w:space="0"/>
            </w:tcBorders>
          </w:tcPr>
          <w:p w14:paraId="05E0F16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8,500.00 </w:t>
            </w:r>
          </w:p>
        </w:tc>
        <w:tc>
          <w:tcPr>
            <w:tcW w:w="1806" w:type="dxa"/>
            <w:tcBorders>
              <w:top w:val="nil"/>
              <w:left w:val="nil"/>
              <w:bottom w:val="single" w:color="auto" w:sz="4" w:space="0"/>
              <w:right w:val="single" w:color="auto" w:sz="8" w:space="0"/>
            </w:tcBorders>
          </w:tcPr>
          <w:p w14:paraId="219AB6A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85,000.00 </w:t>
            </w:r>
          </w:p>
        </w:tc>
      </w:tr>
      <w:tr w14:paraId="64F148D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1D3573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3C64A2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9186EB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95C890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E02630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C9E034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CCDE4C2">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1784057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5.4</w:t>
            </w:r>
          </w:p>
        </w:tc>
        <w:tc>
          <w:tcPr>
            <w:tcW w:w="3144" w:type="dxa"/>
            <w:tcBorders>
              <w:top w:val="nil"/>
              <w:left w:val="nil"/>
              <w:bottom w:val="single" w:color="auto" w:sz="4" w:space="0"/>
              <w:right w:val="single" w:color="auto" w:sz="4" w:space="0"/>
            </w:tcBorders>
          </w:tcPr>
          <w:p w14:paraId="3ED3A51D">
            <w:pPr>
              <w:spacing w:line="240" w:lineRule="auto"/>
              <w:rPr>
                <w:rFonts w:ascii="Times New Roman" w:hAnsi="Times New Roman" w:eastAsia="Times New Roman"/>
                <w:sz w:val="16"/>
                <w:szCs w:val="16"/>
              </w:rPr>
            </w:pPr>
            <w:r>
              <w:rPr>
                <w:rFonts w:ascii="Times New Roman" w:hAnsi="Times New Roman" w:eastAsia="Times New Roman"/>
                <w:sz w:val="16"/>
                <w:szCs w:val="16"/>
              </w:rPr>
              <w:t>Steel casement windows size 797mm x 1597mm</w:t>
            </w:r>
          </w:p>
        </w:tc>
        <w:tc>
          <w:tcPr>
            <w:tcW w:w="960" w:type="dxa"/>
            <w:tcBorders>
              <w:top w:val="nil"/>
              <w:left w:val="nil"/>
              <w:bottom w:val="single" w:color="auto" w:sz="4" w:space="0"/>
              <w:right w:val="single" w:color="auto" w:sz="4" w:space="0"/>
            </w:tcBorders>
          </w:tcPr>
          <w:p w14:paraId="58722A6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2ED21F6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4E0B14F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8,500.00 </w:t>
            </w:r>
          </w:p>
        </w:tc>
        <w:tc>
          <w:tcPr>
            <w:tcW w:w="1806" w:type="dxa"/>
            <w:tcBorders>
              <w:top w:val="nil"/>
              <w:left w:val="nil"/>
              <w:bottom w:val="single" w:color="auto" w:sz="4" w:space="0"/>
              <w:right w:val="single" w:color="auto" w:sz="8" w:space="0"/>
            </w:tcBorders>
          </w:tcPr>
          <w:p w14:paraId="1A305F8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17,000.00 </w:t>
            </w:r>
          </w:p>
        </w:tc>
      </w:tr>
      <w:tr w14:paraId="7EC5D5F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1CDC61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E350B24">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3F9330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A2864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AAFAF5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0E57BA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7581446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6AD4656">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407010B5">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Metalwork</w:t>
            </w:r>
          </w:p>
        </w:tc>
        <w:tc>
          <w:tcPr>
            <w:tcW w:w="960" w:type="dxa"/>
            <w:tcBorders>
              <w:top w:val="nil"/>
              <w:left w:val="nil"/>
              <w:bottom w:val="single" w:color="auto" w:sz="4" w:space="0"/>
              <w:right w:val="single" w:color="auto" w:sz="4" w:space="0"/>
            </w:tcBorders>
          </w:tcPr>
          <w:p w14:paraId="263DC3D3">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2A8E47DA">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2F6733A3">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2534CBF5">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155,000.00 </w:t>
            </w:r>
          </w:p>
        </w:tc>
      </w:tr>
      <w:tr w14:paraId="5F24735E">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B2916E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2616C4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E837BB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52EF86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5FD1D4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A580E2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6A206B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46ABEA2">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6</w:t>
            </w:r>
          </w:p>
        </w:tc>
        <w:tc>
          <w:tcPr>
            <w:tcW w:w="3144" w:type="dxa"/>
            <w:tcBorders>
              <w:top w:val="nil"/>
              <w:left w:val="nil"/>
              <w:bottom w:val="single" w:color="auto" w:sz="4" w:space="0"/>
              <w:right w:val="single" w:color="auto" w:sz="4" w:space="0"/>
            </w:tcBorders>
          </w:tcPr>
          <w:p w14:paraId="5E200C64">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TIMBER DOORS</w:t>
            </w:r>
          </w:p>
        </w:tc>
        <w:tc>
          <w:tcPr>
            <w:tcW w:w="960" w:type="dxa"/>
            <w:tcBorders>
              <w:top w:val="nil"/>
              <w:left w:val="nil"/>
              <w:bottom w:val="single" w:color="auto" w:sz="4" w:space="0"/>
              <w:right w:val="single" w:color="auto" w:sz="4" w:space="0"/>
            </w:tcBorders>
          </w:tcPr>
          <w:p w14:paraId="0E88335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A276B3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5494DE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83DD1B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37FA9A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0E8295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585E0E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C125EB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7C7F63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D3E234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3DC3F9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73D9CC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39BDE1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DA4905F">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Door Frame</w:t>
            </w:r>
          </w:p>
        </w:tc>
        <w:tc>
          <w:tcPr>
            <w:tcW w:w="960" w:type="dxa"/>
            <w:tcBorders>
              <w:top w:val="nil"/>
              <w:left w:val="nil"/>
              <w:bottom w:val="single" w:color="auto" w:sz="4" w:space="0"/>
              <w:right w:val="single" w:color="auto" w:sz="4" w:space="0"/>
            </w:tcBorders>
          </w:tcPr>
          <w:p w14:paraId="4D4348D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94DCF5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917629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12F1B7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13DEF5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1B4D53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16375A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FA6714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F5454F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14D171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57CD68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7557FEF">
        <w:tblPrEx>
          <w:tblCellMar>
            <w:top w:w="0" w:type="dxa"/>
            <w:left w:w="108" w:type="dxa"/>
            <w:bottom w:w="0" w:type="dxa"/>
            <w:right w:w="108" w:type="dxa"/>
          </w:tblCellMar>
        </w:tblPrEx>
        <w:trPr>
          <w:trHeight w:val="3570" w:hRule="atLeast"/>
        </w:trPr>
        <w:tc>
          <w:tcPr>
            <w:tcW w:w="576" w:type="dxa"/>
            <w:tcBorders>
              <w:top w:val="nil"/>
              <w:left w:val="single" w:color="auto" w:sz="8" w:space="0"/>
              <w:bottom w:val="single" w:color="auto" w:sz="4" w:space="0"/>
              <w:right w:val="single" w:color="auto" w:sz="4" w:space="0"/>
            </w:tcBorders>
          </w:tcPr>
          <w:p w14:paraId="4013228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920C46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Wrot Cypress Door Frames size 100 x 50mm with a suitable rebate to receive hinged door panel, including suitable mild steel clamps fixed to back of frame and fixing to door opening size and all necessary woodwork finishes (prepare, knot, prime, stop and apply two undercoats and one finishing coat hard gloss paint to woodwork):-</w:t>
            </w:r>
          </w:p>
        </w:tc>
        <w:tc>
          <w:tcPr>
            <w:tcW w:w="960" w:type="dxa"/>
            <w:tcBorders>
              <w:top w:val="nil"/>
              <w:left w:val="nil"/>
              <w:bottom w:val="single" w:color="auto" w:sz="4" w:space="0"/>
              <w:right w:val="single" w:color="auto" w:sz="4" w:space="0"/>
            </w:tcBorders>
          </w:tcPr>
          <w:p w14:paraId="391A7DA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85437C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1ECB6A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1279A4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2FEB998">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2619E93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6.1</w:t>
            </w:r>
          </w:p>
        </w:tc>
        <w:tc>
          <w:tcPr>
            <w:tcW w:w="3144" w:type="dxa"/>
            <w:tcBorders>
              <w:top w:val="nil"/>
              <w:left w:val="nil"/>
              <w:bottom w:val="single" w:color="auto" w:sz="4" w:space="0"/>
              <w:right w:val="single" w:color="auto" w:sz="4" w:space="0"/>
            </w:tcBorders>
          </w:tcPr>
          <w:p w14:paraId="4B1594EA">
            <w:pPr>
              <w:spacing w:line="240" w:lineRule="auto"/>
              <w:rPr>
                <w:rFonts w:ascii="Times New Roman" w:hAnsi="Times New Roman" w:eastAsia="Times New Roman"/>
                <w:sz w:val="16"/>
                <w:szCs w:val="16"/>
              </w:rPr>
            </w:pPr>
            <w:r>
              <w:rPr>
                <w:rFonts w:ascii="Times New Roman" w:hAnsi="Times New Roman" w:eastAsia="Times New Roman"/>
                <w:sz w:val="16"/>
                <w:szCs w:val="16"/>
              </w:rPr>
              <w:t>Frame to fit door opening 700mm wide x 2100mm high.</w:t>
            </w:r>
          </w:p>
        </w:tc>
        <w:tc>
          <w:tcPr>
            <w:tcW w:w="960" w:type="dxa"/>
            <w:tcBorders>
              <w:top w:val="nil"/>
              <w:left w:val="nil"/>
              <w:bottom w:val="single" w:color="auto" w:sz="4" w:space="0"/>
              <w:right w:val="single" w:color="auto" w:sz="4" w:space="0"/>
            </w:tcBorders>
          </w:tcPr>
          <w:p w14:paraId="15FEA0F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6472C46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10</w:t>
            </w:r>
          </w:p>
        </w:tc>
        <w:tc>
          <w:tcPr>
            <w:tcW w:w="1900" w:type="dxa"/>
            <w:tcBorders>
              <w:top w:val="nil"/>
              <w:left w:val="nil"/>
              <w:bottom w:val="single" w:color="auto" w:sz="4" w:space="0"/>
              <w:right w:val="single" w:color="auto" w:sz="4" w:space="0"/>
            </w:tcBorders>
          </w:tcPr>
          <w:p w14:paraId="21E6847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3,500.00 </w:t>
            </w:r>
          </w:p>
        </w:tc>
        <w:tc>
          <w:tcPr>
            <w:tcW w:w="1806" w:type="dxa"/>
            <w:tcBorders>
              <w:top w:val="nil"/>
              <w:left w:val="nil"/>
              <w:bottom w:val="single" w:color="auto" w:sz="4" w:space="0"/>
              <w:right w:val="single" w:color="auto" w:sz="8" w:space="0"/>
            </w:tcBorders>
          </w:tcPr>
          <w:p w14:paraId="2375385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35,000.00 </w:t>
            </w:r>
          </w:p>
        </w:tc>
      </w:tr>
      <w:tr w14:paraId="161AA00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122D63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0808EDE">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EF5856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nil"/>
              <w:right w:val="single" w:color="auto" w:sz="4" w:space="0"/>
            </w:tcBorders>
          </w:tcPr>
          <w:p w14:paraId="1C0CC24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086C8A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DCDAAB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77CE540">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1679B77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6.2</w:t>
            </w:r>
          </w:p>
        </w:tc>
        <w:tc>
          <w:tcPr>
            <w:tcW w:w="3144" w:type="dxa"/>
            <w:tcBorders>
              <w:top w:val="nil"/>
              <w:left w:val="nil"/>
              <w:bottom w:val="single" w:color="auto" w:sz="4" w:space="0"/>
              <w:right w:val="single" w:color="auto" w:sz="4" w:space="0"/>
            </w:tcBorders>
          </w:tcPr>
          <w:p w14:paraId="5680D774">
            <w:pPr>
              <w:spacing w:line="240" w:lineRule="auto"/>
              <w:rPr>
                <w:rFonts w:ascii="Times New Roman" w:hAnsi="Times New Roman" w:eastAsia="Times New Roman"/>
                <w:sz w:val="16"/>
                <w:szCs w:val="16"/>
              </w:rPr>
            </w:pPr>
            <w:r>
              <w:rPr>
                <w:rFonts w:ascii="Times New Roman" w:hAnsi="Times New Roman" w:eastAsia="Times New Roman"/>
                <w:sz w:val="16"/>
                <w:szCs w:val="16"/>
              </w:rPr>
              <w:t>Frame to fit door opening 800mm wide x 2100mm high.</w:t>
            </w:r>
          </w:p>
        </w:tc>
        <w:tc>
          <w:tcPr>
            <w:tcW w:w="960" w:type="dxa"/>
            <w:tcBorders>
              <w:top w:val="nil"/>
              <w:left w:val="nil"/>
              <w:bottom w:val="single" w:color="auto" w:sz="4" w:space="0"/>
              <w:right w:val="single" w:color="auto" w:sz="4" w:space="0"/>
            </w:tcBorders>
          </w:tcPr>
          <w:p w14:paraId="27D65AF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single" w:color="auto" w:sz="4" w:space="0"/>
              <w:left w:val="nil"/>
              <w:bottom w:val="single" w:color="auto" w:sz="4" w:space="0"/>
              <w:right w:val="single" w:color="auto" w:sz="4" w:space="0"/>
            </w:tcBorders>
          </w:tcPr>
          <w:p w14:paraId="656C060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3</w:t>
            </w:r>
          </w:p>
        </w:tc>
        <w:tc>
          <w:tcPr>
            <w:tcW w:w="1900" w:type="dxa"/>
            <w:tcBorders>
              <w:top w:val="nil"/>
              <w:left w:val="nil"/>
              <w:bottom w:val="single" w:color="auto" w:sz="4" w:space="0"/>
              <w:right w:val="single" w:color="auto" w:sz="4" w:space="0"/>
            </w:tcBorders>
          </w:tcPr>
          <w:p w14:paraId="7C2F132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3,500.00 </w:t>
            </w:r>
          </w:p>
        </w:tc>
        <w:tc>
          <w:tcPr>
            <w:tcW w:w="1806" w:type="dxa"/>
            <w:tcBorders>
              <w:top w:val="nil"/>
              <w:left w:val="nil"/>
              <w:bottom w:val="single" w:color="auto" w:sz="4" w:space="0"/>
              <w:right w:val="single" w:color="auto" w:sz="8" w:space="0"/>
            </w:tcBorders>
          </w:tcPr>
          <w:p w14:paraId="34FEA14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10,500.00 </w:t>
            </w:r>
          </w:p>
        </w:tc>
      </w:tr>
      <w:tr w14:paraId="4E492CD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D73894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466A8D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167E23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95D8AC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4A2D73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627C1F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45608C9">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684A4DE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6.3</w:t>
            </w:r>
          </w:p>
        </w:tc>
        <w:tc>
          <w:tcPr>
            <w:tcW w:w="3144" w:type="dxa"/>
            <w:tcBorders>
              <w:top w:val="nil"/>
              <w:left w:val="nil"/>
              <w:bottom w:val="single" w:color="auto" w:sz="4" w:space="0"/>
              <w:right w:val="single" w:color="auto" w:sz="4" w:space="0"/>
            </w:tcBorders>
          </w:tcPr>
          <w:p w14:paraId="059CA025">
            <w:pPr>
              <w:spacing w:line="240" w:lineRule="auto"/>
              <w:rPr>
                <w:rFonts w:ascii="Times New Roman" w:hAnsi="Times New Roman" w:eastAsia="Times New Roman"/>
                <w:sz w:val="16"/>
                <w:szCs w:val="16"/>
              </w:rPr>
            </w:pPr>
            <w:r>
              <w:rPr>
                <w:rFonts w:ascii="Times New Roman" w:hAnsi="Times New Roman" w:eastAsia="Times New Roman"/>
                <w:sz w:val="16"/>
                <w:szCs w:val="16"/>
              </w:rPr>
              <w:t>Frame to fit door opening 900mm wide x 2100mm high.</w:t>
            </w:r>
          </w:p>
        </w:tc>
        <w:tc>
          <w:tcPr>
            <w:tcW w:w="960" w:type="dxa"/>
            <w:tcBorders>
              <w:top w:val="nil"/>
              <w:left w:val="nil"/>
              <w:bottom w:val="single" w:color="auto" w:sz="4" w:space="0"/>
              <w:right w:val="single" w:color="auto" w:sz="4" w:space="0"/>
            </w:tcBorders>
          </w:tcPr>
          <w:p w14:paraId="64B8688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118E1E7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1434846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3,500.00 </w:t>
            </w:r>
          </w:p>
        </w:tc>
        <w:tc>
          <w:tcPr>
            <w:tcW w:w="1806" w:type="dxa"/>
            <w:tcBorders>
              <w:top w:val="nil"/>
              <w:left w:val="nil"/>
              <w:bottom w:val="single" w:color="auto" w:sz="4" w:space="0"/>
              <w:right w:val="single" w:color="auto" w:sz="8" w:space="0"/>
            </w:tcBorders>
          </w:tcPr>
          <w:p w14:paraId="3DC7C82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7,000.00 </w:t>
            </w:r>
          </w:p>
        </w:tc>
      </w:tr>
      <w:tr w14:paraId="4771B4AB">
        <w:tblPrEx>
          <w:tblCellMar>
            <w:top w:w="0" w:type="dxa"/>
            <w:left w:w="108" w:type="dxa"/>
            <w:bottom w:w="0" w:type="dxa"/>
            <w:right w:w="108" w:type="dxa"/>
          </w:tblCellMar>
        </w:tblPrEx>
        <w:trPr>
          <w:trHeight w:val="5100" w:hRule="atLeast"/>
        </w:trPr>
        <w:tc>
          <w:tcPr>
            <w:tcW w:w="576" w:type="dxa"/>
            <w:tcBorders>
              <w:top w:val="nil"/>
              <w:left w:val="single" w:color="auto" w:sz="8" w:space="0"/>
              <w:bottom w:val="single" w:color="auto" w:sz="4" w:space="0"/>
              <w:right w:val="single" w:color="auto" w:sz="4" w:space="0"/>
            </w:tcBorders>
          </w:tcPr>
          <w:p w14:paraId="639BDC9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D6A50F6">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u w:val="single"/>
              </w:rPr>
              <w:t>Doors</w:t>
            </w:r>
            <w:r>
              <w:rPr>
                <w:rFonts w:ascii="Times New Roman" w:hAnsi="Times New Roman" w:eastAsia="Times New Roman"/>
                <w:b/>
                <w:bCs/>
                <w:sz w:val="16"/>
                <w:szCs w:val="16"/>
                <w:u w:val="single"/>
              </w:rPr>
              <w:br w:type="textWrapping"/>
            </w:r>
            <w:r>
              <w:rPr>
                <w:rFonts w:ascii="Times New Roman" w:hAnsi="Times New Roman" w:eastAsia="Times New Roman"/>
                <w:b/>
                <w:bCs/>
                <w:sz w:val="16"/>
                <w:szCs w:val="16"/>
              </w:rPr>
              <w:t>Supply and fix 50mm thick prime grade cypress panelled door with 50mm x 100mm stiles and top rails, 50 x 150mm middle and bottom rails and infill panels in 50 x 100mm T &amp; G battens. Rate to include for 3 Nr 100mm steel heavy duty washered butt hinges, three lever mortice lock as "Union" Ref 681-06-02 and rubber door stop and three coats of gloss paint complete with bedding and pointing around frames in cement mortar. (See door Details in Standard Drawings):-</w:t>
            </w:r>
          </w:p>
        </w:tc>
        <w:tc>
          <w:tcPr>
            <w:tcW w:w="960" w:type="dxa"/>
            <w:tcBorders>
              <w:top w:val="nil"/>
              <w:left w:val="nil"/>
              <w:bottom w:val="single" w:color="auto" w:sz="4" w:space="0"/>
              <w:right w:val="single" w:color="auto" w:sz="4" w:space="0"/>
            </w:tcBorders>
          </w:tcPr>
          <w:p w14:paraId="22B0F1D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93AA45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9BF724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08FCB2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DDA0292">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702CD69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6.4</w:t>
            </w:r>
          </w:p>
        </w:tc>
        <w:tc>
          <w:tcPr>
            <w:tcW w:w="3144" w:type="dxa"/>
            <w:tcBorders>
              <w:top w:val="nil"/>
              <w:left w:val="nil"/>
              <w:bottom w:val="single" w:color="auto" w:sz="4" w:space="0"/>
              <w:right w:val="single" w:color="auto" w:sz="4" w:space="0"/>
            </w:tcBorders>
          </w:tcPr>
          <w:p w14:paraId="033244B8">
            <w:pPr>
              <w:spacing w:line="240" w:lineRule="auto"/>
              <w:rPr>
                <w:rFonts w:ascii="Times New Roman" w:hAnsi="Times New Roman" w:eastAsia="Times New Roman"/>
                <w:sz w:val="16"/>
                <w:szCs w:val="16"/>
              </w:rPr>
            </w:pPr>
            <w:r>
              <w:rPr>
                <w:rFonts w:ascii="Times New Roman" w:hAnsi="Times New Roman" w:eastAsia="Times New Roman"/>
                <w:sz w:val="16"/>
                <w:szCs w:val="16"/>
              </w:rPr>
              <w:t>Door Size 700mm wide x 2080mm high.</w:t>
            </w:r>
          </w:p>
        </w:tc>
        <w:tc>
          <w:tcPr>
            <w:tcW w:w="960" w:type="dxa"/>
            <w:tcBorders>
              <w:top w:val="nil"/>
              <w:left w:val="nil"/>
              <w:bottom w:val="single" w:color="auto" w:sz="4" w:space="0"/>
              <w:right w:val="single" w:color="auto" w:sz="4" w:space="0"/>
            </w:tcBorders>
          </w:tcPr>
          <w:p w14:paraId="3A82E7B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4B010D8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10</w:t>
            </w:r>
          </w:p>
        </w:tc>
        <w:tc>
          <w:tcPr>
            <w:tcW w:w="1900" w:type="dxa"/>
            <w:tcBorders>
              <w:top w:val="nil"/>
              <w:left w:val="nil"/>
              <w:bottom w:val="single" w:color="auto" w:sz="4" w:space="0"/>
              <w:right w:val="single" w:color="auto" w:sz="4" w:space="0"/>
            </w:tcBorders>
          </w:tcPr>
          <w:p w14:paraId="0271236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10,000.00 </w:t>
            </w:r>
          </w:p>
        </w:tc>
        <w:tc>
          <w:tcPr>
            <w:tcW w:w="1806" w:type="dxa"/>
            <w:tcBorders>
              <w:top w:val="nil"/>
              <w:left w:val="nil"/>
              <w:bottom w:val="single" w:color="auto" w:sz="4" w:space="0"/>
              <w:right w:val="single" w:color="auto" w:sz="8" w:space="0"/>
            </w:tcBorders>
          </w:tcPr>
          <w:p w14:paraId="4966F53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100,000.00 </w:t>
            </w:r>
          </w:p>
        </w:tc>
      </w:tr>
      <w:tr w14:paraId="641CFD8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FA15F5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CD4B28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6D1B7F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68C41C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DC3183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0861D3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3E39CE9">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4737502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6.5</w:t>
            </w:r>
          </w:p>
        </w:tc>
        <w:tc>
          <w:tcPr>
            <w:tcW w:w="3144" w:type="dxa"/>
            <w:tcBorders>
              <w:top w:val="nil"/>
              <w:left w:val="nil"/>
              <w:bottom w:val="single" w:color="auto" w:sz="4" w:space="0"/>
              <w:right w:val="single" w:color="auto" w:sz="4" w:space="0"/>
            </w:tcBorders>
          </w:tcPr>
          <w:p w14:paraId="300ACAC6">
            <w:pPr>
              <w:spacing w:line="240" w:lineRule="auto"/>
              <w:rPr>
                <w:rFonts w:ascii="Times New Roman" w:hAnsi="Times New Roman" w:eastAsia="Times New Roman"/>
                <w:sz w:val="16"/>
                <w:szCs w:val="16"/>
              </w:rPr>
            </w:pPr>
            <w:r>
              <w:rPr>
                <w:rFonts w:ascii="Times New Roman" w:hAnsi="Times New Roman" w:eastAsia="Times New Roman"/>
                <w:sz w:val="16"/>
                <w:szCs w:val="16"/>
              </w:rPr>
              <w:t>Door Size 800mm wide x 2080mm high.</w:t>
            </w:r>
          </w:p>
        </w:tc>
        <w:tc>
          <w:tcPr>
            <w:tcW w:w="960" w:type="dxa"/>
            <w:tcBorders>
              <w:top w:val="nil"/>
              <w:left w:val="nil"/>
              <w:bottom w:val="single" w:color="auto" w:sz="4" w:space="0"/>
              <w:right w:val="single" w:color="auto" w:sz="4" w:space="0"/>
            </w:tcBorders>
          </w:tcPr>
          <w:p w14:paraId="2911E94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2F2EBFA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3</w:t>
            </w:r>
          </w:p>
        </w:tc>
        <w:tc>
          <w:tcPr>
            <w:tcW w:w="1900" w:type="dxa"/>
            <w:tcBorders>
              <w:top w:val="nil"/>
              <w:left w:val="nil"/>
              <w:bottom w:val="single" w:color="auto" w:sz="4" w:space="0"/>
              <w:right w:val="single" w:color="auto" w:sz="4" w:space="0"/>
            </w:tcBorders>
          </w:tcPr>
          <w:p w14:paraId="2F7B3D5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11,000.00 </w:t>
            </w:r>
          </w:p>
        </w:tc>
        <w:tc>
          <w:tcPr>
            <w:tcW w:w="1806" w:type="dxa"/>
            <w:tcBorders>
              <w:top w:val="nil"/>
              <w:left w:val="nil"/>
              <w:bottom w:val="single" w:color="auto" w:sz="4" w:space="0"/>
              <w:right w:val="single" w:color="auto" w:sz="8" w:space="0"/>
            </w:tcBorders>
          </w:tcPr>
          <w:p w14:paraId="25EDEE8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33,000.00 </w:t>
            </w:r>
          </w:p>
        </w:tc>
      </w:tr>
      <w:tr w14:paraId="0B11FC2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E076C8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DDABD9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BA77E0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39AB34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0DC716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3F64DC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75901BF">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4C03DEA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6.6</w:t>
            </w:r>
          </w:p>
        </w:tc>
        <w:tc>
          <w:tcPr>
            <w:tcW w:w="3144" w:type="dxa"/>
            <w:tcBorders>
              <w:top w:val="nil"/>
              <w:left w:val="nil"/>
              <w:bottom w:val="single" w:color="auto" w:sz="4" w:space="0"/>
              <w:right w:val="single" w:color="auto" w:sz="4" w:space="0"/>
            </w:tcBorders>
          </w:tcPr>
          <w:p w14:paraId="4B818F20">
            <w:pPr>
              <w:spacing w:line="240" w:lineRule="auto"/>
              <w:rPr>
                <w:rFonts w:ascii="Times New Roman" w:hAnsi="Times New Roman" w:eastAsia="Times New Roman"/>
                <w:sz w:val="16"/>
                <w:szCs w:val="16"/>
              </w:rPr>
            </w:pPr>
            <w:r>
              <w:rPr>
                <w:rFonts w:ascii="Times New Roman" w:hAnsi="Times New Roman" w:eastAsia="Times New Roman"/>
                <w:sz w:val="16"/>
                <w:szCs w:val="16"/>
              </w:rPr>
              <w:t>Door Size 900mm wide x 2080mm high.</w:t>
            </w:r>
          </w:p>
        </w:tc>
        <w:tc>
          <w:tcPr>
            <w:tcW w:w="960" w:type="dxa"/>
            <w:tcBorders>
              <w:top w:val="nil"/>
              <w:left w:val="nil"/>
              <w:bottom w:val="single" w:color="auto" w:sz="4" w:space="0"/>
              <w:right w:val="single" w:color="auto" w:sz="4" w:space="0"/>
            </w:tcBorders>
          </w:tcPr>
          <w:p w14:paraId="445C8C0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2D74B45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7138737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11,000.00 </w:t>
            </w:r>
          </w:p>
        </w:tc>
        <w:tc>
          <w:tcPr>
            <w:tcW w:w="1806" w:type="dxa"/>
            <w:tcBorders>
              <w:top w:val="nil"/>
              <w:left w:val="nil"/>
              <w:bottom w:val="single" w:color="auto" w:sz="4" w:space="0"/>
              <w:right w:val="single" w:color="auto" w:sz="8" w:space="0"/>
            </w:tcBorders>
          </w:tcPr>
          <w:p w14:paraId="1DB22C4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22,000.00 </w:t>
            </w:r>
          </w:p>
        </w:tc>
      </w:tr>
      <w:tr w14:paraId="41D760B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CA4DC7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BA9D60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D83E75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84EBB9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F7E5DA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DDC91E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B523EC9">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7EA6B6C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6.7</w:t>
            </w:r>
          </w:p>
        </w:tc>
        <w:tc>
          <w:tcPr>
            <w:tcW w:w="3144" w:type="dxa"/>
            <w:tcBorders>
              <w:top w:val="nil"/>
              <w:left w:val="nil"/>
              <w:bottom w:val="single" w:color="auto" w:sz="4" w:space="0"/>
              <w:right w:val="single" w:color="auto" w:sz="4" w:space="0"/>
            </w:tcBorders>
          </w:tcPr>
          <w:p w14:paraId="5CBEF01F">
            <w:pPr>
              <w:spacing w:line="240" w:lineRule="auto"/>
              <w:rPr>
                <w:rFonts w:ascii="Times New Roman" w:hAnsi="Times New Roman" w:eastAsia="Times New Roman"/>
                <w:sz w:val="16"/>
                <w:szCs w:val="16"/>
              </w:rPr>
            </w:pPr>
            <w:r>
              <w:rPr>
                <w:rFonts w:ascii="Times New Roman" w:hAnsi="Times New Roman" w:eastAsia="Times New Roman"/>
                <w:sz w:val="16"/>
                <w:szCs w:val="16"/>
              </w:rPr>
              <w:t>Stainless steel buffer coat hooks</w:t>
            </w:r>
          </w:p>
        </w:tc>
        <w:tc>
          <w:tcPr>
            <w:tcW w:w="960" w:type="dxa"/>
            <w:tcBorders>
              <w:top w:val="nil"/>
              <w:left w:val="nil"/>
              <w:bottom w:val="single" w:color="auto" w:sz="4" w:space="0"/>
              <w:right w:val="single" w:color="auto" w:sz="4" w:space="0"/>
            </w:tcBorders>
          </w:tcPr>
          <w:p w14:paraId="240EAA9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61B3D1E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w:t>
            </w:r>
          </w:p>
        </w:tc>
        <w:tc>
          <w:tcPr>
            <w:tcW w:w="1900" w:type="dxa"/>
            <w:tcBorders>
              <w:top w:val="nil"/>
              <w:left w:val="nil"/>
              <w:bottom w:val="single" w:color="auto" w:sz="4" w:space="0"/>
              <w:right w:val="single" w:color="auto" w:sz="4" w:space="0"/>
            </w:tcBorders>
          </w:tcPr>
          <w:p w14:paraId="4A8768D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300.00 </w:t>
            </w:r>
          </w:p>
        </w:tc>
        <w:tc>
          <w:tcPr>
            <w:tcW w:w="1806" w:type="dxa"/>
            <w:tcBorders>
              <w:top w:val="nil"/>
              <w:left w:val="nil"/>
              <w:bottom w:val="single" w:color="auto" w:sz="4" w:space="0"/>
              <w:right w:val="single" w:color="auto" w:sz="8" w:space="0"/>
            </w:tcBorders>
          </w:tcPr>
          <w:p w14:paraId="47CE2AF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3,600.00 </w:t>
            </w:r>
          </w:p>
        </w:tc>
      </w:tr>
      <w:tr w14:paraId="2813CAF7">
        <w:tblPrEx>
          <w:tblCellMar>
            <w:top w:w="0" w:type="dxa"/>
            <w:left w:w="108" w:type="dxa"/>
            <w:bottom w:w="0" w:type="dxa"/>
            <w:right w:w="108" w:type="dxa"/>
          </w:tblCellMar>
        </w:tblPrEx>
        <w:trPr>
          <w:trHeight w:val="300" w:hRule="atLeast"/>
        </w:trPr>
        <w:tc>
          <w:tcPr>
            <w:tcW w:w="576" w:type="dxa"/>
            <w:tcBorders>
              <w:top w:val="nil"/>
              <w:left w:val="single" w:color="auto" w:sz="8" w:space="0"/>
              <w:bottom w:val="nil"/>
              <w:right w:val="single" w:color="auto" w:sz="4" w:space="0"/>
            </w:tcBorders>
          </w:tcPr>
          <w:p w14:paraId="2D3F79B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nil"/>
              <w:right w:val="single" w:color="auto" w:sz="4" w:space="0"/>
            </w:tcBorders>
          </w:tcPr>
          <w:p w14:paraId="772C388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nil"/>
              <w:right w:val="single" w:color="auto" w:sz="4" w:space="0"/>
            </w:tcBorders>
          </w:tcPr>
          <w:p w14:paraId="7681092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nil"/>
              <w:right w:val="single" w:color="auto" w:sz="4" w:space="0"/>
            </w:tcBorders>
          </w:tcPr>
          <w:p w14:paraId="4F48F7E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nil"/>
              <w:right w:val="single" w:color="auto" w:sz="4" w:space="0"/>
            </w:tcBorders>
          </w:tcPr>
          <w:p w14:paraId="3D5B57E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448CE0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090395D">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1A5E2E0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6.8</w:t>
            </w:r>
          </w:p>
        </w:tc>
        <w:tc>
          <w:tcPr>
            <w:tcW w:w="3144" w:type="dxa"/>
            <w:tcBorders>
              <w:top w:val="single" w:color="auto" w:sz="4" w:space="0"/>
              <w:left w:val="nil"/>
              <w:bottom w:val="single" w:color="auto" w:sz="4" w:space="0"/>
              <w:right w:val="single" w:color="auto" w:sz="4" w:space="0"/>
            </w:tcBorders>
          </w:tcPr>
          <w:p w14:paraId="2A18F3FA">
            <w:pPr>
              <w:spacing w:line="240" w:lineRule="auto"/>
              <w:rPr>
                <w:rFonts w:ascii="Times New Roman" w:hAnsi="Times New Roman" w:eastAsia="Times New Roman"/>
                <w:sz w:val="16"/>
                <w:szCs w:val="16"/>
              </w:rPr>
            </w:pPr>
            <w:r>
              <w:rPr>
                <w:rFonts w:ascii="Times New Roman" w:hAnsi="Times New Roman" w:eastAsia="Times New Roman"/>
                <w:sz w:val="16"/>
                <w:szCs w:val="16"/>
              </w:rPr>
              <w:t>100mm D-Pull handles</w:t>
            </w:r>
          </w:p>
        </w:tc>
        <w:tc>
          <w:tcPr>
            <w:tcW w:w="960" w:type="dxa"/>
            <w:tcBorders>
              <w:top w:val="single" w:color="auto" w:sz="4" w:space="0"/>
              <w:left w:val="nil"/>
              <w:bottom w:val="single" w:color="auto" w:sz="4" w:space="0"/>
              <w:right w:val="single" w:color="auto" w:sz="4" w:space="0"/>
            </w:tcBorders>
          </w:tcPr>
          <w:p w14:paraId="1A54761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single" w:color="auto" w:sz="4" w:space="0"/>
              <w:left w:val="nil"/>
              <w:bottom w:val="single" w:color="auto" w:sz="4" w:space="0"/>
              <w:right w:val="single" w:color="auto" w:sz="4" w:space="0"/>
            </w:tcBorders>
          </w:tcPr>
          <w:p w14:paraId="35433A0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w:t>
            </w:r>
          </w:p>
        </w:tc>
        <w:tc>
          <w:tcPr>
            <w:tcW w:w="1900" w:type="dxa"/>
            <w:tcBorders>
              <w:top w:val="single" w:color="auto" w:sz="4" w:space="0"/>
              <w:left w:val="nil"/>
              <w:bottom w:val="single" w:color="auto" w:sz="4" w:space="0"/>
              <w:right w:val="single" w:color="auto" w:sz="4" w:space="0"/>
            </w:tcBorders>
          </w:tcPr>
          <w:p w14:paraId="6F15168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500.00 </w:t>
            </w:r>
          </w:p>
        </w:tc>
        <w:tc>
          <w:tcPr>
            <w:tcW w:w="1806" w:type="dxa"/>
            <w:tcBorders>
              <w:top w:val="nil"/>
              <w:left w:val="nil"/>
              <w:bottom w:val="single" w:color="auto" w:sz="4" w:space="0"/>
              <w:right w:val="single" w:color="auto" w:sz="8" w:space="0"/>
            </w:tcBorders>
          </w:tcPr>
          <w:p w14:paraId="170EDF1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6,000.00 </w:t>
            </w:r>
          </w:p>
        </w:tc>
      </w:tr>
      <w:tr w14:paraId="11452B6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7F5626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BCBE28E">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7BF27B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B63984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6D5E53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6C7278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04B4324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59E1C4E">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3DB09DAD">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Timber Doors</w:t>
            </w:r>
          </w:p>
        </w:tc>
        <w:tc>
          <w:tcPr>
            <w:tcW w:w="960" w:type="dxa"/>
            <w:tcBorders>
              <w:top w:val="nil"/>
              <w:left w:val="nil"/>
              <w:bottom w:val="single" w:color="auto" w:sz="4" w:space="0"/>
              <w:right w:val="single" w:color="auto" w:sz="4" w:space="0"/>
            </w:tcBorders>
          </w:tcPr>
          <w:p w14:paraId="3B9DB84F">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2CB48CF6">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2590802D">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33920AC7">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217,100.00 </w:t>
            </w:r>
          </w:p>
        </w:tc>
      </w:tr>
      <w:tr w14:paraId="3F5636B1">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FF8F02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C21203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DDEC6D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67ED13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A2C095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66FEFF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E70E41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97CFB4A">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7</w:t>
            </w:r>
          </w:p>
        </w:tc>
        <w:tc>
          <w:tcPr>
            <w:tcW w:w="3144" w:type="dxa"/>
            <w:tcBorders>
              <w:top w:val="nil"/>
              <w:left w:val="nil"/>
              <w:bottom w:val="single" w:color="auto" w:sz="4" w:space="0"/>
              <w:right w:val="single" w:color="auto" w:sz="4" w:space="0"/>
            </w:tcBorders>
          </w:tcPr>
          <w:p w14:paraId="7AC141A9">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CEILING</w:t>
            </w:r>
          </w:p>
        </w:tc>
        <w:tc>
          <w:tcPr>
            <w:tcW w:w="960" w:type="dxa"/>
            <w:tcBorders>
              <w:top w:val="nil"/>
              <w:left w:val="nil"/>
              <w:bottom w:val="single" w:color="auto" w:sz="4" w:space="0"/>
              <w:right w:val="single" w:color="auto" w:sz="4" w:space="0"/>
            </w:tcBorders>
          </w:tcPr>
          <w:p w14:paraId="6300F34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6826AA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4432DF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04627C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0936FC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BEB4EA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D351FBB">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A0F123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F3A942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5539E8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3F45CA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A4350FE">
        <w:tblPrEx>
          <w:tblCellMar>
            <w:top w:w="0" w:type="dxa"/>
            <w:left w:w="108" w:type="dxa"/>
            <w:bottom w:w="0" w:type="dxa"/>
            <w:right w:w="108" w:type="dxa"/>
          </w:tblCellMar>
        </w:tblPrEx>
        <w:trPr>
          <w:trHeight w:val="2295" w:hRule="atLeast"/>
        </w:trPr>
        <w:tc>
          <w:tcPr>
            <w:tcW w:w="576" w:type="dxa"/>
            <w:tcBorders>
              <w:top w:val="nil"/>
              <w:left w:val="single" w:color="auto" w:sz="8" w:space="0"/>
              <w:bottom w:val="single" w:color="auto" w:sz="4" w:space="0"/>
              <w:right w:val="single" w:color="auto" w:sz="4" w:space="0"/>
            </w:tcBorders>
          </w:tcPr>
          <w:p w14:paraId="0334CBF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B826B73">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12mm Thick Approved Plasterboard in Sheets Size 2400 x 1200mm Fixed to and Including 50 x 50mm Sawn Cypress Grade 2 Battens at 600mm Centres in Both Directions Complete with Gauge Jointing Material</w:t>
            </w:r>
          </w:p>
        </w:tc>
        <w:tc>
          <w:tcPr>
            <w:tcW w:w="960" w:type="dxa"/>
            <w:tcBorders>
              <w:top w:val="nil"/>
              <w:left w:val="nil"/>
              <w:bottom w:val="single" w:color="auto" w:sz="4" w:space="0"/>
              <w:right w:val="single" w:color="auto" w:sz="4" w:space="0"/>
            </w:tcBorders>
          </w:tcPr>
          <w:p w14:paraId="7560D9A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F8A68A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BDCD2A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18A860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731340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386F37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B36332F">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 </w:t>
            </w:r>
          </w:p>
        </w:tc>
        <w:tc>
          <w:tcPr>
            <w:tcW w:w="960" w:type="dxa"/>
            <w:tcBorders>
              <w:top w:val="nil"/>
              <w:left w:val="nil"/>
              <w:bottom w:val="single" w:color="auto" w:sz="4" w:space="0"/>
              <w:right w:val="single" w:color="auto" w:sz="4" w:space="0"/>
            </w:tcBorders>
          </w:tcPr>
          <w:p w14:paraId="5956529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FAB2D6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4F93A8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84842A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4664D03">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35A55E4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7.1</w:t>
            </w:r>
          </w:p>
        </w:tc>
        <w:tc>
          <w:tcPr>
            <w:tcW w:w="3144" w:type="dxa"/>
            <w:tcBorders>
              <w:top w:val="nil"/>
              <w:left w:val="nil"/>
              <w:bottom w:val="single" w:color="auto" w:sz="4" w:space="0"/>
              <w:right w:val="single" w:color="auto" w:sz="4" w:space="0"/>
            </w:tcBorders>
          </w:tcPr>
          <w:p w14:paraId="241DFDE5">
            <w:pPr>
              <w:spacing w:line="240" w:lineRule="auto"/>
              <w:rPr>
                <w:rFonts w:ascii="Times New Roman" w:hAnsi="Times New Roman" w:eastAsia="Times New Roman"/>
                <w:sz w:val="16"/>
                <w:szCs w:val="16"/>
              </w:rPr>
            </w:pPr>
            <w:r>
              <w:rPr>
                <w:rFonts w:ascii="Times New Roman" w:hAnsi="Times New Roman" w:eastAsia="Times New Roman"/>
                <w:sz w:val="16"/>
                <w:szCs w:val="16"/>
              </w:rPr>
              <w:t>Horizontal ceiling fixed to underside of trusses</w:t>
            </w:r>
          </w:p>
        </w:tc>
        <w:tc>
          <w:tcPr>
            <w:tcW w:w="960" w:type="dxa"/>
            <w:tcBorders>
              <w:top w:val="nil"/>
              <w:left w:val="nil"/>
              <w:bottom w:val="single" w:color="auto" w:sz="4" w:space="0"/>
              <w:right w:val="single" w:color="auto" w:sz="4" w:space="0"/>
            </w:tcBorders>
          </w:tcPr>
          <w:p w14:paraId="2DA1ED9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3824AAE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300</w:t>
            </w:r>
          </w:p>
        </w:tc>
        <w:tc>
          <w:tcPr>
            <w:tcW w:w="1900" w:type="dxa"/>
            <w:tcBorders>
              <w:top w:val="nil"/>
              <w:left w:val="nil"/>
              <w:bottom w:val="single" w:color="auto" w:sz="4" w:space="0"/>
              <w:right w:val="single" w:color="auto" w:sz="4" w:space="0"/>
            </w:tcBorders>
          </w:tcPr>
          <w:p w14:paraId="71BDFD3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0A927B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07C57D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3A52D4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2C6D7AE">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 </w:t>
            </w:r>
          </w:p>
        </w:tc>
        <w:tc>
          <w:tcPr>
            <w:tcW w:w="960" w:type="dxa"/>
            <w:tcBorders>
              <w:top w:val="nil"/>
              <w:left w:val="nil"/>
              <w:bottom w:val="single" w:color="auto" w:sz="4" w:space="0"/>
              <w:right w:val="single" w:color="auto" w:sz="4" w:space="0"/>
            </w:tcBorders>
          </w:tcPr>
          <w:p w14:paraId="014D14B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520768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9705F9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710899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BD074CD">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4D431D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7.2</w:t>
            </w:r>
          </w:p>
        </w:tc>
        <w:tc>
          <w:tcPr>
            <w:tcW w:w="3144" w:type="dxa"/>
            <w:tcBorders>
              <w:top w:val="nil"/>
              <w:left w:val="nil"/>
              <w:bottom w:val="single" w:color="auto" w:sz="4" w:space="0"/>
              <w:right w:val="single" w:color="auto" w:sz="4" w:space="0"/>
            </w:tcBorders>
          </w:tcPr>
          <w:p w14:paraId="22E04E91">
            <w:pPr>
              <w:spacing w:line="240" w:lineRule="auto"/>
              <w:rPr>
                <w:rFonts w:ascii="Times New Roman" w:hAnsi="Times New Roman" w:eastAsia="Times New Roman"/>
                <w:sz w:val="16"/>
                <w:szCs w:val="16"/>
              </w:rPr>
            </w:pPr>
            <w:r>
              <w:rPr>
                <w:rFonts w:ascii="Times New Roman" w:hAnsi="Times New Roman" w:eastAsia="Times New Roman"/>
                <w:sz w:val="16"/>
                <w:szCs w:val="16"/>
              </w:rPr>
              <w:t>12mm Cornice 50mm high, plugged</w:t>
            </w:r>
          </w:p>
        </w:tc>
        <w:tc>
          <w:tcPr>
            <w:tcW w:w="960" w:type="dxa"/>
            <w:tcBorders>
              <w:top w:val="nil"/>
              <w:left w:val="nil"/>
              <w:bottom w:val="single" w:color="auto" w:sz="4" w:space="0"/>
              <w:right w:val="single" w:color="auto" w:sz="4" w:space="0"/>
            </w:tcBorders>
          </w:tcPr>
          <w:p w14:paraId="1232C40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40961E1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110</w:t>
            </w:r>
          </w:p>
        </w:tc>
        <w:tc>
          <w:tcPr>
            <w:tcW w:w="1900" w:type="dxa"/>
            <w:tcBorders>
              <w:top w:val="nil"/>
              <w:left w:val="nil"/>
              <w:bottom w:val="single" w:color="auto" w:sz="4" w:space="0"/>
              <w:right w:val="single" w:color="auto" w:sz="4" w:space="0"/>
            </w:tcBorders>
          </w:tcPr>
          <w:p w14:paraId="5A0D86B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3F5E7F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C807F5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71DAB4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8415FBF">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F02F3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F4E3D5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794AAC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D6811D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AD0D387">
        <w:tblPrEx>
          <w:tblCellMar>
            <w:top w:w="0" w:type="dxa"/>
            <w:left w:w="108" w:type="dxa"/>
            <w:bottom w:w="0" w:type="dxa"/>
            <w:right w:w="108" w:type="dxa"/>
          </w:tblCellMar>
        </w:tblPrEx>
        <w:trPr>
          <w:trHeight w:val="2805" w:hRule="atLeast"/>
        </w:trPr>
        <w:tc>
          <w:tcPr>
            <w:tcW w:w="576" w:type="dxa"/>
            <w:tcBorders>
              <w:top w:val="nil"/>
              <w:left w:val="single" w:color="auto" w:sz="8" w:space="0"/>
              <w:bottom w:val="single" w:color="auto" w:sz="4" w:space="0"/>
              <w:right w:val="single" w:color="auto" w:sz="4" w:space="0"/>
            </w:tcBorders>
          </w:tcPr>
          <w:p w14:paraId="18A2864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7.3</w:t>
            </w:r>
          </w:p>
        </w:tc>
        <w:tc>
          <w:tcPr>
            <w:tcW w:w="3144" w:type="dxa"/>
            <w:tcBorders>
              <w:top w:val="nil"/>
              <w:left w:val="nil"/>
              <w:bottom w:val="single" w:color="auto" w:sz="4" w:space="0"/>
              <w:right w:val="single" w:color="auto" w:sz="4" w:space="0"/>
            </w:tcBorders>
          </w:tcPr>
          <w:p w14:paraId="2E05F888">
            <w:pPr>
              <w:spacing w:line="240" w:lineRule="auto"/>
              <w:rPr>
                <w:rFonts w:ascii="Times New Roman" w:hAnsi="Times New Roman" w:eastAsia="Times New Roman"/>
                <w:sz w:val="16"/>
                <w:szCs w:val="16"/>
                <w:u w:val="single"/>
              </w:rPr>
            </w:pPr>
            <w:r>
              <w:rPr>
                <w:rFonts w:ascii="Times New Roman" w:hAnsi="Times New Roman" w:eastAsia="Times New Roman"/>
                <w:sz w:val="16"/>
                <w:szCs w:val="16"/>
                <w:u w:val="single"/>
              </w:rPr>
              <w:t>Extra over ceiling lining for forming removable access trap door size 600 x 600mm with 100 x 38 mm sawn treated cypress trimming joists between tie beams,120 x 20mm (finished ) wrot cypress frame all round and 20mm blockboard removable panel set loose on top of framing</w:t>
            </w:r>
          </w:p>
        </w:tc>
        <w:tc>
          <w:tcPr>
            <w:tcW w:w="960" w:type="dxa"/>
            <w:tcBorders>
              <w:top w:val="nil"/>
              <w:left w:val="nil"/>
              <w:bottom w:val="single" w:color="auto" w:sz="4" w:space="0"/>
              <w:right w:val="single" w:color="auto" w:sz="4" w:space="0"/>
            </w:tcBorders>
          </w:tcPr>
          <w:p w14:paraId="361C4FB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772B4FA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539AFB7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BAE5A7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4F6795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84FD5A8">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59C4725C">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Ceiling</w:t>
            </w:r>
          </w:p>
        </w:tc>
        <w:tc>
          <w:tcPr>
            <w:tcW w:w="960" w:type="dxa"/>
            <w:tcBorders>
              <w:top w:val="nil"/>
              <w:left w:val="nil"/>
              <w:bottom w:val="single" w:color="auto" w:sz="4" w:space="0"/>
              <w:right w:val="single" w:color="auto" w:sz="4" w:space="0"/>
            </w:tcBorders>
          </w:tcPr>
          <w:p w14:paraId="60641594">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7A9CA6A7">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66B25757">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62CD9C6A">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   </w:t>
            </w:r>
          </w:p>
        </w:tc>
      </w:tr>
      <w:tr w14:paraId="48C0894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E9A72A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62D14F0">
            <w:pPr>
              <w:spacing w:line="240" w:lineRule="auto"/>
              <w:rPr>
                <w:rFonts w:ascii="Times New Roman" w:hAnsi="Times New Roman" w:eastAsia="Times New Roman"/>
                <w:sz w:val="16"/>
                <w:szCs w:val="16"/>
                <w:u w:val="single"/>
              </w:rPr>
            </w:pPr>
            <w:r>
              <w:rPr>
                <w:rFonts w:ascii="Times New Roman" w:hAnsi="Times New Roman" w:eastAsia="Times New Roman"/>
                <w:sz w:val="16"/>
                <w:szCs w:val="16"/>
                <w:u w:val="single"/>
              </w:rPr>
              <w:t> </w:t>
            </w:r>
          </w:p>
        </w:tc>
        <w:tc>
          <w:tcPr>
            <w:tcW w:w="960" w:type="dxa"/>
            <w:tcBorders>
              <w:top w:val="nil"/>
              <w:left w:val="nil"/>
              <w:bottom w:val="single" w:color="auto" w:sz="4" w:space="0"/>
              <w:right w:val="single" w:color="auto" w:sz="4" w:space="0"/>
            </w:tcBorders>
          </w:tcPr>
          <w:p w14:paraId="0A88EB5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1BA471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2473F2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24EEC0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83615B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D5E4082">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7</w:t>
            </w:r>
          </w:p>
        </w:tc>
        <w:tc>
          <w:tcPr>
            <w:tcW w:w="3144" w:type="dxa"/>
            <w:tcBorders>
              <w:top w:val="nil"/>
              <w:left w:val="nil"/>
              <w:bottom w:val="single" w:color="auto" w:sz="4" w:space="0"/>
              <w:right w:val="single" w:color="auto" w:sz="4" w:space="0"/>
            </w:tcBorders>
          </w:tcPr>
          <w:p w14:paraId="43DD700D">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RENDERING</w:t>
            </w:r>
          </w:p>
        </w:tc>
        <w:tc>
          <w:tcPr>
            <w:tcW w:w="960" w:type="dxa"/>
            <w:tcBorders>
              <w:top w:val="nil"/>
              <w:left w:val="nil"/>
              <w:bottom w:val="single" w:color="auto" w:sz="4" w:space="0"/>
              <w:right w:val="single" w:color="auto" w:sz="4" w:space="0"/>
            </w:tcBorders>
          </w:tcPr>
          <w:p w14:paraId="21207EB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6AACE3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1B6A8C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775407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92299BE">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DEB6E6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BF6973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E131AB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DF528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130513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5A940A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D3EBB49">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7F70E71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95F1C4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12.5mm Thick Cement and Sand Render as Described Externally on :-</w:t>
            </w:r>
          </w:p>
        </w:tc>
        <w:tc>
          <w:tcPr>
            <w:tcW w:w="960" w:type="dxa"/>
            <w:tcBorders>
              <w:top w:val="nil"/>
              <w:left w:val="nil"/>
              <w:bottom w:val="single" w:color="auto" w:sz="4" w:space="0"/>
              <w:right w:val="single" w:color="auto" w:sz="4" w:space="0"/>
            </w:tcBorders>
          </w:tcPr>
          <w:p w14:paraId="40CB9F7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EB248E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8A31B6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4604B8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F75B69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AA3A44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2E3146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C93C6D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C3FB16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286401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356AE9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F0E4820">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21E9CA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7.1</w:t>
            </w:r>
          </w:p>
        </w:tc>
        <w:tc>
          <w:tcPr>
            <w:tcW w:w="3144" w:type="dxa"/>
            <w:tcBorders>
              <w:top w:val="nil"/>
              <w:left w:val="nil"/>
              <w:bottom w:val="single" w:color="auto" w:sz="4" w:space="0"/>
              <w:right w:val="single" w:color="auto" w:sz="4" w:space="0"/>
            </w:tcBorders>
          </w:tcPr>
          <w:p w14:paraId="21045A80">
            <w:pPr>
              <w:spacing w:line="240" w:lineRule="auto"/>
              <w:rPr>
                <w:rFonts w:ascii="Times New Roman" w:hAnsi="Times New Roman" w:eastAsia="Times New Roman"/>
                <w:sz w:val="16"/>
                <w:szCs w:val="16"/>
              </w:rPr>
            </w:pPr>
            <w:r>
              <w:rPr>
                <w:rFonts w:ascii="Times New Roman" w:hAnsi="Times New Roman" w:eastAsia="Times New Roman"/>
                <w:sz w:val="16"/>
                <w:szCs w:val="16"/>
              </w:rPr>
              <w:t>Blockwork and concrete surfaces</w:t>
            </w:r>
          </w:p>
        </w:tc>
        <w:tc>
          <w:tcPr>
            <w:tcW w:w="960" w:type="dxa"/>
            <w:tcBorders>
              <w:top w:val="nil"/>
              <w:left w:val="nil"/>
              <w:bottom w:val="single" w:color="auto" w:sz="4" w:space="0"/>
              <w:right w:val="single" w:color="auto" w:sz="4" w:space="0"/>
            </w:tcBorders>
          </w:tcPr>
          <w:p w14:paraId="3F10B3B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7ECC78A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80</w:t>
            </w:r>
          </w:p>
        </w:tc>
        <w:tc>
          <w:tcPr>
            <w:tcW w:w="1900" w:type="dxa"/>
            <w:tcBorders>
              <w:top w:val="nil"/>
              <w:left w:val="nil"/>
              <w:bottom w:val="single" w:color="auto" w:sz="4" w:space="0"/>
              <w:right w:val="single" w:color="auto" w:sz="4" w:space="0"/>
            </w:tcBorders>
          </w:tcPr>
          <w:p w14:paraId="053DAFC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400.00 </w:t>
            </w:r>
          </w:p>
        </w:tc>
        <w:tc>
          <w:tcPr>
            <w:tcW w:w="1806" w:type="dxa"/>
            <w:tcBorders>
              <w:top w:val="nil"/>
              <w:left w:val="nil"/>
              <w:bottom w:val="single" w:color="auto" w:sz="4" w:space="0"/>
              <w:right w:val="single" w:color="auto" w:sz="8" w:space="0"/>
            </w:tcBorders>
          </w:tcPr>
          <w:p w14:paraId="2A8E458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32,000.00 </w:t>
            </w:r>
          </w:p>
        </w:tc>
      </w:tr>
      <w:tr w14:paraId="35C898A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1F1C5A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3392D5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38DB5A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E7FA1D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1706F7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17161F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9E78F2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B95EB0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167597D">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Screeds</w:t>
            </w:r>
          </w:p>
        </w:tc>
        <w:tc>
          <w:tcPr>
            <w:tcW w:w="960" w:type="dxa"/>
            <w:tcBorders>
              <w:top w:val="nil"/>
              <w:left w:val="nil"/>
              <w:bottom w:val="single" w:color="auto" w:sz="4" w:space="0"/>
              <w:right w:val="single" w:color="auto" w:sz="4" w:space="0"/>
            </w:tcBorders>
          </w:tcPr>
          <w:p w14:paraId="24E115B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A0A9FF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4A8819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F7FEE5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46C039F">
        <w:tblPrEx>
          <w:tblCellMar>
            <w:top w:w="0" w:type="dxa"/>
            <w:left w:w="108" w:type="dxa"/>
            <w:bottom w:w="0" w:type="dxa"/>
            <w:right w:w="108" w:type="dxa"/>
          </w:tblCellMar>
        </w:tblPrEx>
        <w:trPr>
          <w:trHeight w:val="1275" w:hRule="atLeast"/>
        </w:trPr>
        <w:tc>
          <w:tcPr>
            <w:tcW w:w="576" w:type="dxa"/>
            <w:tcBorders>
              <w:top w:val="nil"/>
              <w:left w:val="single" w:color="auto" w:sz="8" w:space="0"/>
              <w:bottom w:val="single" w:color="auto" w:sz="4" w:space="0"/>
              <w:right w:val="single" w:color="auto" w:sz="4" w:space="0"/>
            </w:tcBorders>
          </w:tcPr>
          <w:p w14:paraId="336C3F5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AC784FC">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Bonded cement and sand (1:4) screed bed in one coat, well bonded to concrete base as described:-</w:t>
            </w:r>
          </w:p>
        </w:tc>
        <w:tc>
          <w:tcPr>
            <w:tcW w:w="960" w:type="dxa"/>
            <w:tcBorders>
              <w:top w:val="nil"/>
              <w:left w:val="nil"/>
              <w:bottom w:val="single" w:color="auto" w:sz="4" w:space="0"/>
              <w:right w:val="single" w:color="auto" w:sz="4" w:space="0"/>
            </w:tcBorders>
          </w:tcPr>
          <w:p w14:paraId="3345AC3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2EC665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21EDF7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56F932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FEC375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ED3D22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F32623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AEE7A0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9CB174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F4A0C3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6C35DA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A57C456">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4412F6F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7.2</w:t>
            </w:r>
          </w:p>
        </w:tc>
        <w:tc>
          <w:tcPr>
            <w:tcW w:w="3144" w:type="dxa"/>
            <w:tcBorders>
              <w:top w:val="nil"/>
              <w:left w:val="nil"/>
              <w:bottom w:val="single" w:color="auto" w:sz="4" w:space="0"/>
              <w:right w:val="single" w:color="auto" w:sz="4" w:space="0"/>
            </w:tcBorders>
          </w:tcPr>
          <w:p w14:paraId="269A3C93">
            <w:pPr>
              <w:spacing w:line="240" w:lineRule="auto"/>
              <w:rPr>
                <w:rFonts w:ascii="Times New Roman" w:hAnsi="Times New Roman" w:eastAsia="Times New Roman"/>
                <w:sz w:val="16"/>
                <w:szCs w:val="16"/>
              </w:rPr>
            </w:pPr>
            <w:r>
              <w:rPr>
                <w:rFonts w:ascii="Times New Roman" w:hAnsi="Times New Roman" w:eastAsia="Times New Roman"/>
                <w:sz w:val="16"/>
                <w:szCs w:val="16"/>
              </w:rPr>
              <w:t>38mm Thick screed laid level to receive floor tiling (measured separately)</w:t>
            </w:r>
          </w:p>
        </w:tc>
        <w:tc>
          <w:tcPr>
            <w:tcW w:w="960" w:type="dxa"/>
            <w:tcBorders>
              <w:top w:val="nil"/>
              <w:left w:val="nil"/>
              <w:bottom w:val="single" w:color="auto" w:sz="4" w:space="0"/>
              <w:right w:val="single" w:color="auto" w:sz="4" w:space="0"/>
            </w:tcBorders>
          </w:tcPr>
          <w:p w14:paraId="0612A62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147BE17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85</w:t>
            </w:r>
          </w:p>
        </w:tc>
        <w:tc>
          <w:tcPr>
            <w:tcW w:w="1900" w:type="dxa"/>
            <w:tcBorders>
              <w:top w:val="nil"/>
              <w:left w:val="nil"/>
              <w:bottom w:val="single" w:color="auto" w:sz="4" w:space="0"/>
              <w:right w:val="single" w:color="auto" w:sz="4" w:space="0"/>
            </w:tcBorders>
          </w:tcPr>
          <w:p w14:paraId="6F860CF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400.00 </w:t>
            </w:r>
          </w:p>
        </w:tc>
        <w:tc>
          <w:tcPr>
            <w:tcW w:w="1806" w:type="dxa"/>
            <w:tcBorders>
              <w:top w:val="nil"/>
              <w:left w:val="nil"/>
              <w:bottom w:val="single" w:color="auto" w:sz="4" w:space="0"/>
              <w:right w:val="single" w:color="auto" w:sz="8" w:space="0"/>
            </w:tcBorders>
          </w:tcPr>
          <w:p w14:paraId="04AB4A8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34,000.00 </w:t>
            </w:r>
          </w:p>
        </w:tc>
      </w:tr>
      <w:tr w14:paraId="1628571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413EB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B316E8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269AA0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AAB98F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4191DB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294EBD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C4864FD">
        <w:tblPrEx>
          <w:tblCellMar>
            <w:top w:w="0" w:type="dxa"/>
            <w:left w:w="108" w:type="dxa"/>
            <w:bottom w:w="0" w:type="dxa"/>
            <w:right w:w="108" w:type="dxa"/>
          </w:tblCellMar>
        </w:tblPrEx>
        <w:trPr>
          <w:trHeight w:val="1530" w:hRule="atLeast"/>
        </w:trPr>
        <w:tc>
          <w:tcPr>
            <w:tcW w:w="576" w:type="dxa"/>
            <w:tcBorders>
              <w:top w:val="nil"/>
              <w:left w:val="single" w:color="auto" w:sz="8" w:space="0"/>
              <w:bottom w:val="single" w:color="auto" w:sz="4" w:space="0"/>
              <w:right w:val="single" w:color="auto" w:sz="4" w:space="0"/>
            </w:tcBorders>
          </w:tcPr>
          <w:p w14:paraId="24A2123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7.3</w:t>
            </w:r>
          </w:p>
        </w:tc>
        <w:tc>
          <w:tcPr>
            <w:tcW w:w="3144" w:type="dxa"/>
            <w:tcBorders>
              <w:top w:val="nil"/>
              <w:left w:val="nil"/>
              <w:bottom w:val="single" w:color="auto" w:sz="4" w:space="0"/>
              <w:right w:val="single" w:color="auto" w:sz="4" w:space="0"/>
            </w:tcBorders>
          </w:tcPr>
          <w:p w14:paraId="78A1309A">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12mm (minimum) Thick Cement and sand backing (1:4) with approved plasticiser to receive granito floor laid to skirtings, treads and risers (measured separately) </w:t>
            </w:r>
          </w:p>
        </w:tc>
        <w:tc>
          <w:tcPr>
            <w:tcW w:w="960" w:type="dxa"/>
            <w:tcBorders>
              <w:top w:val="nil"/>
              <w:left w:val="nil"/>
              <w:bottom w:val="single" w:color="auto" w:sz="4" w:space="0"/>
              <w:right w:val="single" w:color="auto" w:sz="4" w:space="0"/>
            </w:tcBorders>
          </w:tcPr>
          <w:p w14:paraId="5AD26A5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5547A40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13</w:t>
            </w:r>
          </w:p>
        </w:tc>
        <w:tc>
          <w:tcPr>
            <w:tcW w:w="1900" w:type="dxa"/>
            <w:tcBorders>
              <w:top w:val="nil"/>
              <w:left w:val="nil"/>
              <w:bottom w:val="single" w:color="auto" w:sz="4" w:space="0"/>
              <w:right w:val="single" w:color="auto" w:sz="4" w:space="0"/>
            </w:tcBorders>
          </w:tcPr>
          <w:p w14:paraId="386CF23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400.00 </w:t>
            </w:r>
          </w:p>
        </w:tc>
        <w:tc>
          <w:tcPr>
            <w:tcW w:w="1806" w:type="dxa"/>
            <w:tcBorders>
              <w:top w:val="nil"/>
              <w:left w:val="nil"/>
              <w:bottom w:val="single" w:color="auto" w:sz="4" w:space="0"/>
              <w:right w:val="single" w:color="auto" w:sz="8" w:space="0"/>
            </w:tcBorders>
          </w:tcPr>
          <w:p w14:paraId="4694247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5,200.00 </w:t>
            </w:r>
          </w:p>
        </w:tc>
      </w:tr>
      <w:tr w14:paraId="7B5872B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05723B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A02DDB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B01212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560D2C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E838D7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7D7C2C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784239B">
        <w:tblPrEx>
          <w:tblCellMar>
            <w:top w:w="0" w:type="dxa"/>
            <w:left w:w="108" w:type="dxa"/>
            <w:bottom w:w="0" w:type="dxa"/>
            <w:right w:w="108" w:type="dxa"/>
          </w:tblCellMar>
        </w:tblPrEx>
        <w:trPr>
          <w:trHeight w:val="1785" w:hRule="atLeast"/>
        </w:trPr>
        <w:tc>
          <w:tcPr>
            <w:tcW w:w="576" w:type="dxa"/>
            <w:tcBorders>
              <w:top w:val="nil"/>
              <w:left w:val="single" w:color="auto" w:sz="8" w:space="0"/>
              <w:bottom w:val="single" w:color="auto" w:sz="4" w:space="0"/>
              <w:right w:val="single" w:color="auto" w:sz="4" w:space="0"/>
            </w:tcBorders>
          </w:tcPr>
          <w:p w14:paraId="0B3573D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CAA53D4">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Bonded cement and sand (1:4) screed bed in one coat with approved hardener incorporated in the mix, well bonded to concrete base as described:-</w:t>
            </w:r>
          </w:p>
        </w:tc>
        <w:tc>
          <w:tcPr>
            <w:tcW w:w="960" w:type="dxa"/>
            <w:tcBorders>
              <w:top w:val="nil"/>
              <w:left w:val="nil"/>
              <w:bottom w:val="single" w:color="auto" w:sz="4" w:space="0"/>
              <w:right w:val="single" w:color="auto" w:sz="4" w:space="0"/>
            </w:tcBorders>
          </w:tcPr>
          <w:p w14:paraId="4D5EB97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5FEE99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F5354D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AEB7F6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3F653A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356D53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53D712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12A891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7D8DE8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5DD2E2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140F4A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7268005">
        <w:tblPrEx>
          <w:tblCellMar>
            <w:top w:w="0" w:type="dxa"/>
            <w:left w:w="108" w:type="dxa"/>
            <w:bottom w:w="0" w:type="dxa"/>
            <w:right w:w="108" w:type="dxa"/>
          </w:tblCellMar>
        </w:tblPrEx>
        <w:trPr>
          <w:trHeight w:val="1785" w:hRule="atLeast"/>
        </w:trPr>
        <w:tc>
          <w:tcPr>
            <w:tcW w:w="576" w:type="dxa"/>
            <w:tcBorders>
              <w:top w:val="nil"/>
              <w:left w:val="single" w:color="auto" w:sz="8" w:space="0"/>
              <w:bottom w:val="single" w:color="auto" w:sz="4" w:space="0"/>
              <w:right w:val="single" w:color="auto" w:sz="4" w:space="0"/>
            </w:tcBorders>
          </w:tcPr>
          <w:p w14:paraId="5BF4153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DDEE03B">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Bonded cement and sand (1:4) screed bed in one coat with approved hardener incorporated in the mix, well bonded to concrete base as described:-</w:t>
            </w:r>
          </w:p>
        </w:tc>
        <w:tc>
          <w:tcPr>
            <w:tcW w:w="960" w:type="dxa"/>
            <w:tcBorders>
              <w:top w:val="nil"/>
              <w:left w:val="nil"/>
              <w:bottom w:val="single" w:color="auto" w:sz="4" w:space="0"/>
              <w:right w:val="single" w:color="auto" w:sz="4" w:space="0"/>
            </w:tcBorders>
          </w:tcPr>
          <w:p w14:paraId="2A4D1D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B82463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FCDB25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140346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48C8B9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B0A39A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2527C7B">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17E591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72CC27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B2D136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B4EAE9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BB51CF1">
        <w:tblPrEx>
          <w:tblCellMar>
            <w:top w:w="0" w:type="dxa"/>
            <w:left w:w="108" w:type="dxa"/>
            <w:bottom w:w="0" w:type="dxa"/>
            <w:right w:w="108" w:type="dxa"/>
          </w:tblCellMar>
        </w:tblPrEx>
        <w:trPr>
          <w:trHeight w:val="1020" w:hRule="atLeast"/>
        </w:trPr>
        <w:tc>
          <w:tcPr>
            <w:tcW w:w="576" w:type="dxa"/>
            <w:tcBorders>
              <w:top w:val="nil"/>
              <w:left w:val="single" w:color="auto" w:sz="8" w:space="0"/>
              <w:bottom w:val="single" w:color="auto" w:sz="4" w:space="0"/>
              <w:right w:val="single" w:color="auto" w:sz="4" w:space="0"/>
            </w:tcBorders>
          </w:tcPr>
          <w:p w14:paraId="0ED48E5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7.4</w:t>
            </w:r>
          </w:p>
        </w:tc>
        <w:tc>
          <w:tcPr>
            <w:tcW w:w="3144" w:type="dxa"/>
            <w:tcBorders>
              <w:top w:val="nil"/>
              <w:left w:val="nil"/>
              <w:bottom w:val="single" w:color="auto" w:sz="4" w:space="0"/>
              <w:right w:val="single" w:color="auto" w:sz="4" w:space="0"/>
            </w:tcBorders>
          </w:tcPr>
          <w:p w14:paraId="0B65F2C2">
            <w:pPr>
              <w:spacing w:line="240" w:lineRule="auto"/>
              <w:rPr>
                <w:rFonts w:ascii="Times New Roman" w:hAnsi="Times New Roman" w:eastAsia="Times New Roman"/>
                <w:sz w:val="16"/>
                <w:szCs w:val="16"/>
              </w:rPr>
            </w:pPr>
            <w:r>
              <w:rPr>
                <w:rFonts w:ascii="Times New Roman" w:hAnsi="Times New Roman" w:eastAsia="Times New Roman"/>
                <w:sz w:val="16"/>
                <w:szCs w:val="16"/>
              </w:rPr>
              <w:t>12mm (minimum) Thick screed laid level to receive ceramic wall tiles (measured separately)</w:t>
            </w:r>
          </w:p>
        </w:tc>
        <w:tc>
          <w:tcPr>
            <w:tcW w:w="960" w:type="dxa"/>
            <w:tcBorders>
              <w:top w:val="nil"/>
              <w:left w:val="nil"/>
              <w:bottom w:val="single" w:color="auto" w:sz="4" w:space="0"/>
              <w:right w:val="single" w:color="auto" w:sz="4" w:space="0"/>
            </w:tcBorders>
          </w:tcPr>
          <w:p w14:paraId="611EAAB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7087BE5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150</w:t>
            </w:r>
          </w:p>
        </w:tc>
        <w:tc>
          <w:tcPr>
            <w:tcW w:w="1900" w:type="dxa"/>
            <w:tcBorders>
              <w:top w:val="nil"/>
              <w:left w:val="nil"/>
              <w:bottom w:val="single" w:color="auto" w:sz="4" w:space="0"/>
              <w:right w:val="single" w:color="auto" w:sz="4" w:space="0"/>
            </w:tcBorders>
          </w:tcPr>
          <w:p w14:paraId="229EE31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250.00 </w:t>
            </w:r>
          </w:p>
        </w:tc>
        <w:tc>
          <w:tcPr>
            <w:tcW w:w="1806" w:type="dxa"/>
            <w:tcBorders>
              <w:top w:val="nil"/>
              <w:left w:val="nil"/>
              <w:bottom w:val="single" w:color="auto" w:sz="4" w:space="0"/>
              <w:right w:val="single" w:color="auto" w:sz="8" w:space="0"/>
            </w:tcBorders>
          </w:tcPr>
          <w:p w14:paraId="447B5D3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37,500.00 </w:t>
            </w:r>
          </w:p>
        </w:tc>
      </w:tr>
      <w:tr w14:paraId="2869473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E24285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C2C3C77">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818772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DA0B9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A09F5B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B23686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65F8657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9DD8588">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7258A4F8">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Rendering</w:t>
            </w:r>
          </w:p>
        </w:tc>
        <w:tc>
          <w:tcPr>
            <w:tcW w:w="960" w:type="dxa"/>
            <w:tcBorders>
              <w:top w:val="nil"/>
              <w:left w:val="nil"/>
              <w:bottom w:val="single" w:color="auto" w:sz="4" w:space="0"/>
              <w:right w:val="single" w:color="auto" w:sz="4" w:space="0"/>
            </w:tcBorders>
          </w:tcPr>
          <w:p w14:paraId="4DBDB3E1">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01AAAD43">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0BC593BF">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35C1C6E7">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108,700.00 </w:t>
            </w:r>
          </w:p>
        </w:tc>
      </w:tr>
      <w:tr w14:paraId="3DEEF2F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558B9A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7D7237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37795D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DBC599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DC67CD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2B0A67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45F4D4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2EB5EAC">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8</w:t>
            </w:r>
          </w:p>
        </w:tc>
        <w:tc>
          <w:tcPr>
            <w:tcW w:w="3144" w:type="dxa"/>
            <w:tcBorders>
              <w:top w:val="nil"/>
              <w:left w:val="nil"/>
              <w:bottom w:val="single" w:color="auto" w:sz="4" w:space="0"/>
              <w:right w:val="single" w:color="auto" w:sz="4" w:space="0"/>
            </w:tcBorders>
          </w:tcPr>
          <w:p w14:paraId="6A9BB2C4">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PLASTERING</w:t>
            </w:r>
          </w:p>
        </w:tc>
        <w:tc>
          <w:tcPr>
            <w:tcW w:w="960" w:type="dxa"/>
            <w:tcBorders>
              <w:top w:val="nil"/>
              <w:left w:val="nil"/>
              <w:bottom w:val="single" w:color="auto" w:sz="4" w:space="0"/>
              <w:right w:val="single" w:color="auto" w:sz="4" w:space="0"/>
            </w:tcBorders>
          </w:tcPr>
          <w:p w14:paraId="7225F19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4B1959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BC42E4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0310A2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02BE47E">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723EE0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86FC24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27D3D6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9A8FB1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2B6AD4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5224E8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6DCFE25">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7EE97FE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EDBA6DD">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12.5mm Thick Gauged Cement Plaster as Described Internally on :-</w:t>
            </w:r>
          </w:p>
        </w:tc>
        <w:tc>
          <w:tcPr>
            <w:tcW w:w="960" w:type="dxa"/>
            <w:tcBorders>
              <w:top w:val="nil"/>
              <w:left w:val="nil"/>
              <w:bottom w:val="single" w:color="auto" w:sz="4" w:space="0"/>
              <w:right w:val="single" w:color="auto" w:sz="4" w:space="0"/>
            </w:tcBorders>
          </w:tcPr>
          <w:p w14:paraId="2B9D5B1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EBCE71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FFA0D6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6E052F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4B6E6D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70E8E8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47DEC7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DE65A6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926862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5F50EC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5450AA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D2C781B">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67C279B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8.1</w:t>
            </w:r>
          </w:p>
        </w:tc>
        <w:tc>
          <w:tcPr>
            <w:tcW w:w="3144" w:type="dxa"/>
            <w:tcBorders>
              <w:top w:val="nil"/>
              <w:left w:val="nil"/>
              <w:bottom w:val="single" w:color="auto" w:sz="4" w:space="0"/>
              <w:right w:val="single" w:color="auto" w:sz="4" w:space="0"/>
            </w:tcBorders>
          </w:tcPr>
          <w:p w14:paraId="2AC4DA8B">
            <w:pPr>
              <w:spacing w:line="240" w:lineRule="auto"/>
              <w:rPr>
                <w:rFonts w:ascii="Times New Roman" w:hAnsi="Times New Roman" w:eastAsia="Times New Roman"/>
                <w:sz w:val="16"/>
                <w:szCs w:val="16"/>
              </w:rPr>
            </w:pPr>
            <w:r>
              <w:rPr>
                <w:rFonts w:ascii="Times New Roman" w:hAnsi="Times New Roman" w:eastAsia="Times New Roman"/>
                <w:sz w:val="16"/>
                <w:szCs w:val="16"/>
              </w:rPr>
              <w:t>Blockwork and concrete surfaces</w:t>
            </w:r>
          </w:p>
        </w:tc>
        <w:tc>
          <w:tcPr>
            <w:tcW w:w="960" w:type="dxa"/>
            <w:tcBorders>
              <w:top w:val="nil"/>
              <w:left w:val="nil"/>
              <w:bottom w:val="single" w:color="auto" w:sz="4" w:space="0"/>
              <w:right w:val="single" w:color="auto" w:sz="4" w:space="0"/>
            </w:tcBorders>
          </w:tcPr>
          <w:p w14:paraId="5D00D7A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045DA3E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70</w:t>
            </w:r>
          </w:p>
        </w:tc>
        <w:tc>
          <w:tcPr>
            <w:tcW w:w="1900" w:type="dxa"/>
            <w:tcBorders>
              <w:top w:val="nil"/>
              <w:left w:val="nil"/>
              <w:bottom w:val="single" w:color="auto" w:sz="4" w:space="0"/>
              <w:right w:val="single" w:color="auto" w:sz="4" w:space="0"/>
            </w:tcBorders>
          </w:tcPr>
          <w:p w14:paraId="1766331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350.00 </w:t>
            </w:r>
          </w:p>
        </w:tc>
        <w:tc>
          <w:tcPr>
            <w:tcW w:w="1806" w:type="dxa"/>
            <w:tcBorders>
              <w:top w:val="nil"/>
              <w:left w:val="nil"/>
              <w:bottom w:val="single" w:color="auto" w:sz="4" w:space="0"/>
              <w:right w:val="single" w:color="auto" w:sz="8" w:space="0"/>
            </w:tcBorders>
          </w:tcPr>
          <w:p w14:paraId="46C275C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24,500.00 </w:t>
            </w:r>
          </w:p>
        </w:tc>
      </w:tr>
      <w:tr w14:paraId="1EA268F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E087B7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675BEBA">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E22C36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6AE49F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758478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0BC9B6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0FFB818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7A21F40">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0195D1B1">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Plastering</w:t>
            </w:r>
          </w:p>
        </w:tc>
        <w:tc>
          <w:tcPr>
            <w:tcW w:w="960" w:type="dxa"/>
            <w:tcBorders>
              <w:top w:val="nil"/>
              <w:left w:val="nil"/>
              <w:bottom w:val="single" w:color="auto" w:sz="4" w:space="0"/>
              <w:right w:val="single" w:color="auto" w:sz="4" w:space="0"/>
            </w:tcBorders>
          </w:tcPr>
          <w:p w14:paraId="6B9A14F1">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112250C0">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6C8083AE">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19489151">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24,500.00 </w:t>
            </w:r>
          </w:p>
        </w:tc>
      </w:tr>
      <w:tr w14:paraId="57D0AAD1">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EA40AB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63C6BB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6FE40A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302037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F4C58D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EF994D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A3A2187">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7B35E72B">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9</w:t>
            </w:r>
          </w:p>
        </w:tc>
        <w:tc>
          <w:tcPr>
            <w:tcW w:w="3144" w:type="dxa"/>
            <w:tcBorders>
              <w:top w:val="nil"/>
              <w:left w:val="nil"/>
              <w:bottom w:val="single" w:color="auto" w:sz="4" w:space="0"/>
              <w:right w:val="single" w:color="auto" w:sz="4" w:space="0"/>
            </w:tcBorders>
          </w:tcPr>
          <w:p w14:paraId="5DF2554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PAINTING AND DECORATING</w:t>
            </w:r>
          </w:p>
        </w:tc>
        <w:tc>
          <w:tcPr>
            <w:tcW w:w="960" w:type="dxa"/>
            <w:tcBorders>
              <w:top w:val="nil"/>
              <w:left w:val="nil"/>
              <w:bottom w:val="single" w:color="auto" w:sz="4" w:space="0"/>
              <w:right w:val="single" w:color="auto" w:sz="4" w:space="0"/>
            </w:tcBorders>
          </w:tcPr>
          <w:p w14:paraId="34BD898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6522E5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9C8130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B8EA41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6108A4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3253F1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6F12E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DA29D2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272E31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C7DC21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F8CC28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175AD2B">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139533E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DF4557E">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Prepare and Apply Three Coats Exterior Quality Plastic Emulsion Paint:-</w:t>
            </w:r>
          </w:p>
        </w:tc>
        <w:tc>
          <w:tcPr>
            <w:tcW w:w="960" w:type="dxa"/>
            <w:tcBorders>
              <w:top w:val="nil"/>
              <w:left w:val="nil"/>
              <w:bottom w:val="single" w:color="auto" w:sz="4" w:space="0"/>
              <w:right w:val="single" w:color="auto" w:sz="4" w:space="0"/>
            </w:tcBorders>
          </w:tcPr>
          <w:p w14:paraId="0180AE4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0AB663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A7C0B5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3CBEDF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7D89AF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A81358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9EFF70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5E59A9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468902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A6E5D2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6F8F4E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03449C1">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BBE978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9C8EC8A">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Externally on:-</w:t>
            </w:r>
          </w:p>
        </w:tc>
        <w:tc>
          <w:tcPr>
            <w:tcW w:w="960" w:type="dxa"/>
            <w:tcBorders>
              <w:top w:val="nil"/>
              <w:left w:val="nil"/>
              <w:bottom w:val="single" w:color="auto" w:sz="4" w:space="0"/>
              <w:right w:val="single" w:color="auto" w:sz="4" w:space="0"/>
            </w:tcBorders>
          </w:tcPr>
          <w:p w14:paraId="3C274EB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B0286A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AF3E6B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9E7E47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3260DE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0FE1E2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FD751A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2642FD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88BF93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CE3751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D10A8B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89F62C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5F086C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9.1</w:t>
            </w:r>
          </w:p>
        </w:tc>
        <w:tc>
          <w:tcPr>
            <w:tcW w:w="3144" w:type="dxa"/>
            <w:tcBorders>
              <w:top w:val="nil"/>
              <w:left w:val="nil"/>
              <w:bottom w:val="single" w:color="auto" w:sz="4" w:space="0"/>
              <w:right w:val="single" w:color="auto" w:sz="4" w:space="0"/>
            </w:tcBorders>
          </w:tcPr>
          <w:p w14:paraId="576F3FAF">
            <w:pPr>
              <w:spacing w:line="240" w:lineRule="auto"/>
              <w:rPr>
                <w:rFonts w:ascii="Times New Roman" w:hAnsi="Times New Roman" w:eastAsia="Times New Roman"/>
                <w:sz w:val="16"/>
                <w:szCs w:val="16"/>
              </w:rPr>
            </w:pPr>
            <w:r>
              <w:rPr>
                <w:rFonts w:ascii="Times New Roman" w:hAnsi="Times New Roman" w:eastAsia="Times New Roman"/>
                <w:sz w:val="16"/>
                <w:szCs w:val="16"/>
              </w:rPr>
              <w:t>Fair-faced concrete surfaces</w:t>
            </w:r>
          </w:p>
        </w:tc>
        <w:tc>
          <w:tcPr>
            <w:tcW w:w="960" w:type="dxa"/>
            <w:tcBorders>
              <w:top w:val="nil"/>
              <w:left w:val="nil"/>
              <w:bottom w:val="single" w:color="auto" w:sz="4" w:space="0"/>
              <w:right w:val="single" w:color="auto" w:sz="4" w:space="0"/>
            </w:tcBorders>
          </w:tcPr>
          <w:p w14:paraId="61EB00A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0F85E07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70</w:t>
            </w:r>
          </w:p>
        </w:tc>
        <w:tc>
          <w:tcPr>
            <w:tcW w:w="1900" w:type="dxa"/>
            <w:tcBorders>
              <w:top w:val="nil"/>
              <w:left w:val="nil"/>
              <w:bottom w:val="single" w:color="auto" w:sz="4" w:space="0"/>
              <w:right w:val="single" w:color="auto" w:sz="4" w:space="0"/>
            </w:tcBorders>
          </w:tcPr>
          <w:p w14:paraId="1E00F32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275.00 </w:t>
            </w:r>
          </w:p>
        </w:tc>
        <w:tc>
          <w:tcPr>
            <w:tcW w:w="1806" w:type="dxa"/>
            <w:tcBorders>
              <w:top w:val="nil"/>
              <w:left w:val="nil"/>
              <w:bottom w:val="single" w:color="auto" w:sz="4" w:space="0"/>
              <w:right w:val="single" w:color="auto" w:sz="8" w:space="0"/>
            </w:tcBorders>
          </w:tcPr>
          <w:p w14:paraId="257BC77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19,250.00 </w:t>
            </w:r>
          </w:p>
        </w:tc>
      </w:tr>
      <w:tr w14:paraId="2EE6C35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59DBB5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F280DC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EA4A49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D4A277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0D8E37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B9A060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BA710F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5E0B74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8E4BE84">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Internally on:-</w:t>
            </w:r>
          </w:p>
        </w:tc>
        <w:tc>
          <w:tcPr>
            <w:tcW w:w="960" w:type="dxa"/>
            <w:tcBorders>
              <w:top w:val="nil"/>
              <w:left w:val="nil"/>
              <w:bottom w:val="single" w:color="auto" w:sz="4" w:space="0"/>
              <w:right w:val="single" w:color="auto" w:sz="4" w:space="0"/>
            </w:tcBorders>
          </w:tcPr>
          <w:p w14:paraId="7A6DBAF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EAAC76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8AFEE3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052983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B26AB8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3436FA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D1E7CC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5A4EF5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37E1C9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81CAE9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F62C4D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5B18BF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58FF73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F0C059E">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Wall Tiles</w:t>
            </w:r>
          </w:p>
        </w:tc>
        <w:tc>
          <w:tcPr>
            <w:tcW w:w="960" w:type="dxa"/>
            <w:tcBorders>
              <w:top w:val="nil"/>
              <w:left w:val="nil"/>
              <w:bottom w:val="single" w:color="auto" w:sz="4" w:space="0"/>
              <w:right w:val="single" w:color="auto" w:sz="4" w:space="0"/>
            </w:tcBorders>
          </w:tcPr>
          <w:p w14:paraId="0B407C4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3EC8FA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54ED32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C084E5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58854C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754277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27B407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D66256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2B67F8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E47D32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47B9ED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229B140">
        <w:tblPrEx>
          <w:tblCellMar>
            <w:top w:w="0" w:type="dxa"/>
            <w:left w:w="108" w:type="dxa"/>
            <w:bottom w:w="0" w:type="dxa"/>
            <w:right w:w="108" w:type="dxa"/>
          </w:tblCellMar>
        </w:tblPrEx>
        <w:trPr>
          <w:trHeight w:val="1275" w:hRule="atLeast"/>
        </w:trPr>
        <w:tc>
          <w:tcPr>
            <w:tcW w:w="576" w:type="dxa"/>
            <w:tcBorders>
              <w:top w:val="nil"/>
              <w:left w:val="single" w:color="auto" w:sz="8" w:space="0"/>
              <w:bottom w:val="single" w:color="auto" w:sz="4" w:space="0"/>
              <w:right w:val="single" w:color="auto" w:sz="4" w:space="0"/>
            </w:tcBorders>
          </w:tcPr>
          <w:p w14:paraId="5A29072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30400C3">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Coloured Ceramic Wall Tiles from Saj Co. as supplied by M/s Tile &amp; Carpet Centre, or other equal and approved</w:t>
            </w:r>
          </w:p>
        </w:tc>
        <w:tc>
          <w:tcPr>
            <w:tcW w:w="960" w:type="dxa"/>
            <w:tcBorders>
              <w:top w:val="nil"/>
              <w:left w:val="nil"/>
              <w:bottom w:val="single" w:color="auto" w:sz="4" w:space="0"/>
              <w:right w:val="single" w:color="auto" w:sz="4" w:space="0"/>
            </w:tcBorders>
          </w:tcPr>
          <w:p w14:paraId="7B9E2F6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E8C5D7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9EBD96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8013A6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585A39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4818A1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89B63C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C4FCED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CBDF5A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E84E2D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AFEA17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4870023">
        <w:tblPrEx>
          <w:tblCellMar>
            <w:top w:w="0" w:type="dxa"/>
            <w:left w:w="108" w:type="dxa"/>
            <w:bottom w:w="0" w:type="dxa"/>
            <w:right w:w="108" w:type="dxa"/>
          </w:tblCellMar>
        </w:tblPrEx>
        <w:trPr>
          <w:trHeight w:val="1275" w:hRule="atLeast"/>
        </w:trPr>
        <w:tc>
          <w:tcPr>
            <w:tcW w:w="576" w:type="dxa"/>
            <w:tcBorders>
              <w:top w:val="nil"/>
              <w:left w:val="single" w:color="auto" w:sz="8" w:space="0"/>
              <w:bottom w:val="single" w:color="auto" w:sz="4" w:space="0"/>
              <w:right w:val="single" w:color="auto" w:sz="4" w:space="0"/>
            </w:tcBorders>
          </w:tcPr>
          <w:p w14:paraId="22E151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9.2</w:t>
            </w:r>
          </w:p>
        </w:tc>
        <w:tc>
          <w:tcPr>
            <w:tcW w:w="3144" w:type="dxa"/>
            <w:tcBorders>
              <w:top w:val="nil"/>
              <w:left w:val="nil"/>
              <w:bottom w:val="single" w:color="auto" w:sz="4" w:space="0"/>
              <w:right w:val="single" w:color="auto" w:sz="4" w:space="0"/>
            </w:tcBorders>
          </w:tcPr>
          <w:p w14:paraId="391130B1">
            <w:pPr>
              <w:spacing w:line="240" w:lineRule="auto"/>
              <w:rPr>
                <w:rFonts w:ascii="Times New Roman" w:hAnsi="Times New Roman" w:eastAsia="Times New Roman"/>
                <w:sz w:val="16"/>
                <w:szCs w:val="16"/>
              </w:rPr>
            </w:pPr>
            <w:r>
              <w:rPr>
                <w:rFonts w:ascii="Times New Roman" w:hAnsi="Times New Roman" w:eastAsia="Times New Roman"/>
                <w:sz w:val="16"/>
                <w:szCs w:val="16"/>
              </w:rPr>
              <w:t>200 x 300mm Thick coloured wall tiles laid on backing (measured separately) and joints filled in approved filler to match colour of tiles</w:t>
            </w:r>
          </w:p>
        </w:tc>
        <w:tc>
          <w:tcPr>
            <w:tcW w:w="960" w:type="dxa"/>
            <w:tcBorders>
              <w:top w:val="nil"/>
              <w:left w:val="nil"/>
              <w:bottom w:val="single" w:color="auto" w:sz="4" w:space="0"/>
              <w:right w:val="single" w:color="auto" w:sz="4" w:space="0"/>
            </w:tcBorders>
          </w:tcPr>
          <w:p w14:paraId="6385BB3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1C6CCAD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150</w:t>
            </w:r>
          </w:p>
        </w:tc>
        <w:tc>
          <w:tcPr>
            <w:tcW w:w="1900" w:type="dxa"/>
            <w:tcBorders>
              <w:top w:val="nil"/>
              <w:left w:val="nil"/>
              <w:bottom w:val="single" w:color="auto" w:sz="4" w:space="0"/>
              <w:right w:val="single" w:color="auto" w:sz="4" w:space="0"/>
            </w:tcBorders>
          </w:tcPr>
          <w:p w14:paraId="14AE25A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1,200.00 </w:t>
            </w:r>
          </w:p>
        </w:tc>
        <w:tc>
          <w:tcPr>
            <w:tcW w:w="1806" w:type="dxa"/>
            <w:tcBorders>
              <w:top w:val="nil"/>
              <w:left w:val="nil"/>
              <w:bottom w:val="single" w:color="auto" w:sz="4" w:space="0"/>
              <w:right w:val="single" w:color="auto" w:sz="8" w:space="0"/>
            </w:tcBorders>
          </w:tcPr>
          <w:p w14:paraId="77E703B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180,000.00 </w:t>
            </w:r>
          </w:p>
        </w:tc>
      </w:tr>
      <w:tr w14:paraId="1DD80F5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A1D2B6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C1830B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712C6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65FE33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w:t>
            </w:r>
          </w:p>
        </w:tc>
        <w:tc>
          <w:tcPr>
            <w:tcW w:w="1900" w:type="dxa"/>
            <w:tcBorders>
              <w:top w:val="nil"/>
              <w:left w:val="nil"/>
              <w:bottom w:val="single" w:color="auto" w:sz="4" w:space="0"/>
              <w:right w:val="single" w:color="auto" w:sz="4" w:space="0"/>
            </w:tcBorders>
          </w:tcPr>
          <w:p w14:paraId="279D37B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56EFC7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362AD88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4D03EB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403A7DC">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Sundries</w:t>
            </w:r>
          </w:p>
        </w:tc>
        <w:tc>
          <w:tcPr>
            <w:tcW w:w="960" w:type="dxa"/>
            <w:tcBorders>
              <w:top w:val="nil"/>
              <w:left w:val="nil"/>
              <w:bottom w:val="single" w:color="auto" w:sz="4" w:space="0"/>
              <w:right w:val="single" w:color="auto" w:sz="4" w:space="0"/>
            </w:tcBorders>
          </w:tcPr>
          <w:p w14:paraId="5B4B7C8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9F576E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8DF3B4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6F312F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C1E101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4C1B49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63A073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B343E5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E49977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84522E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F599E6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E47B8F5">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285CDB5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9.3</w:t>
            </w:r>
          </w:p>
        </w:tc>
        <w:tc>
          <w:tcPr>
            <w:tcW w:w="3144" w:type="dxa"/>
            <w:tcBorders>
              <w:top w:val="nil"/>
              <w:left w:val="nil"/>
              <w:bottom w:val="single" w:color="auto" w:sz="4" w:space="0"/>
              <w:right w:val="single" w:color="auto" w:sz="4" w:space="0"/>
            </w:tcBorders>
          </w:tcPr>
          <w:p w14:paraId="0D575214">
            <w:pPr>
              <w:spacing w:line="240" w:lineRule="auto"/>
              <w:rPr>
                <w:rFonts w:ascii="Times New Roman" w:hAnsi="Times New Roman" w:eastAsia="Times New Roman"/>
                <w:sz w:val="16"/>
                <w:szCs w:val="16"/>
              </w:rPr>
            </w:pPr>
            <w:r>
              <w:rPr>
                <w:rFonts w:ascii="Times New Roman" w:hAnsi="Times New Roman" w:eastAsia="Times New Roman"/>
                <w:sz w:val="16"/>
                <w:szCs w:val="16"/>
              </w:rPr>
              <w:t>PVC tiling edge to external corners of tiles (Provisional)</w:t>
            </w:r>
          </w:p>
        </w:tc>
        <w:tc>
          <w:tcPr>
            <w:tcW w:w="960" w:type="dxa"/>
            <w:tcBorders>
              <w:top w:val="nil"/>
              <w:left w:val="nil"/>
              <w:bottom w:val="single" w:color="auto" w:sz="4" w:space="0"/>
              <w:right w:val="single" w:color="auto" w:sz="4" w:space="0"/>
            </w:tcBorders>
          </w:tcPr>
          <w:p w14:paraId="69F488F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6536E19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100</w:t>
            </w:r>
          </w:p>
        </w:tc>
        <w:tc>
          <w:tcPr>
            <w:tcW w:w="1900" w:type="dxa"/>
            <w:tcBorders>
              <w:top w:val="nil"/>
              <w:left w:val="nil"/>
              <w:bottom w:val="single" w:color="auto" w:sz="4" w:space="0"/>
              <w:right w:val="single" w:color="auto" w:sz="4" w:space="0"/>
            </w:tcBorders>
          </w:tcPr>
          <w:p w14:paraId="057A303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 </w:t>
            </w:r>
          </w:p>
        </w:tc>
        <w:tc>
          <w:tcPr>
            <w:tcW w:w="1806" w:type="dxa"/>
            <w:tcBorders>
              <w:top w:val="nil"/>
              <w:left w:val="nil"/>
              <w:bottom w:val="single" w:color="auto" w:sz="4" w:space="0"/>
              <w:right w:val="single" w:color="auto" w:sz="8" w:space="0"/>
            </w:tcBorders>
          </w:tcPr>
          <w:p w14:paraId="3B992C5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10,000.00 </w:t>
            </w:r>
          </w:p>
        </w:tc>
      </w:tr>
      <w:tr w14:paraId="06DCDE7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08F92A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EF9F00D">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57B055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B8842D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5798F2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375522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789A6E6E">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624E1A5E">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69568461">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Painting and Decorating</w:t>
            </w:r>
          </w:p>
        </w:tc>
        <w:tc>
          <w:tcPr>
            <w:tcW w:w="960" w:type="dxa"/>
            <w:tcBorders>
              <w:top w:val="nil"/>
              <w:left w:val="nil"/>
              <w:bottom w:val="single" w:color="auto" w:sz="4" w:space="0"/>
              <w:right w:val="single" w:color="auto" w:sz="4" w:space="0"/>
            </w:tcBorders>
          </w:tcPr>
          <w:p w14:paraId="37215D39">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16022156">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6AC59A9C">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39C93F9E">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209,250.00 </w:t>
            </w:r>
          </w:p>
        </w:tc>
      </w:tr>
      <w:tr w14:paraId="33647ACF">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78B709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B6B29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92F41E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4FF85F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9C25EB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0B88F7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624D2E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0C821FB">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10</w:t>
            </w:r>
          </w:p>
        </w:tc>
        <w:tc>
          <w:tcPr>
            <w:tcW w:w="3144" w:type="dxa"/>
            <w:tcBorders>
              <w:top w:val="nil"/>
              <w:left w:val="nil"/>
              <w:bottom w:val="single" w:color="auto" w:sz="4" w:space="0"/>
              <w:right w:val="single" w:color="auto" w:sz="4" w:space="0"/>
            </w:tcBorders>
          </w:tcPr>
          <w:p w14:paraId="08CC584E">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FLOOR FINISHES</w:t>
            </w:r>
          </w:p>
        </w:tc>
        <w:tc>
          <w:tcPr>
            <w:tcW w:w="960" w:type="dxa"/>
            <w:tcBorders>
              <w:top w:val="nil"/>
              <w:left w:val="nil"/>
              <w:bottom w:val="single" w:color="auto" w:sz="4" w:space="0"/>
              <w:right w:val="single" w:color="auto" w:sz="4" w:space="0"/>
            </w:tcBorders>
          </w:tcPr>
          <w:p w14:paraId="22644BB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CB9080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17644B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1362B3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E5728A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DBC577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D743E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F9859B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2B7898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6236F5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872FCC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8A701C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0BFF69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F631FB3">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Ceramic Floor Tiling</w:t>
            </w:r>
          </w:p>
        </w:tc>
        <w:tc>
          <w:tcPr>
            <w:tcW w:w="960" w:type="dxa"/>
            <w:tcBorders>
              <w:top w:val="nil"/>
              <w:left w:val="nil"/>
              <w:bottom w:val="single" w:color="auto" w:sz="4" w:space="0"/>
              <w:right w:val="single" w:color="auto" w:sz="4" w:space="0"/>
            </w:tcBorders>
          </w:tcPr>
          <w:p w14:paraId="38C3D5A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BE7D69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820027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F0AB3F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50B6B6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9FC944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9D11ED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699F18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AD3C1C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8BEB5A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74CB6B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7BF3304">
        <w:tblPrEx>
          <w:tblCellMar>
            <w:top w:w="0" w:type="dxa"/>
            <w:left w:w="108" w:type="dxa"/>
            <w:bottom w:w="0" w:type="dxa"/>
            <w:right w:w="108" w:type="dxa"/>
          </w:tblCellMar>
        </w:tblPrEx>
        <w:trPr>
          <w:trHeight w:val="1275" w:hRule="atLeast"/>
        </w:trPr>
        <w:tc>
          <w:tcPr>
            <w:tcW w:w="576" w:type="dxa"/>
            <w:tcBorders>
              <w:top w:val="nil"/>
              <w:left w:val="single" w:color="auto" w:sz="8" w:space="0"/>
              <w:bottom w:val="single" w:color="auto" w:sz="4" w:space="0"/>
              <w:right w:val="single" w:color="auto" w:sz="4" w:space="0"/>
            </w:tcBorders>
          </w:tcPr>
          <w:p w14:paraId="6223C96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1F2216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Coloured Ceramic Floor Tiles from Saj Co. as supplied by M/s Tile &amp; Carpet Centre, or other equal and approved</w:t>
            </w:r>
          </w:p>
        </w:tc>
        <w:tc>
          <w:tcPr>
            <w:tcW w:w="960" w:type="dxa"/>
            <w:tcBorders>
              <w:top w:val="nil"/>
              <w:left w:val="nil"/>
              <w:bottom w:val="single" w:color="auto" w:sz="4" w:space="0"/>
              <w:right w:val="single" w:color="auto" w:sz="4" w:space="0"/>
            </w:tcBorders>
          </w:tcPr>
          <w:p w14:paraId="10F7391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756F42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DE2A96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B8AD2A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498C55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D151A0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D95AA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1ADB2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F9FD6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200417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EDCB85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B6AA559">
        <w:tblPrEx>
          <w:tblCellMar>
            <w:top w:w="0" w:type="dxa"/>
            <w:left w:w="108" w:type="dxa"/>
            <w:bottom w:w="0" w:type="dxa"/>
            <w:right w:w="108" w:type="dxa"/>
          </w:tblCellMar>
        </w:tblPrEx>
        <w:trPr>
          <w:trHeight w:val="1020" w:hRule="atLeast"/>
        </w:trPr>
        <w:tc>
          <w:tcPr>
            <w:tcW w:w="576" w:type="dxa"/>
            <w:tcBorders>
              <w:top w:val="nil"/>
              <w:left w:val="single" w:color="auto" w:sz="8" w:space="0"/>
              <w:bottom w:val="single" w:color="auto" w:sz="4" w:space="0"/>
              <w:right w:val="single" w:color="auto" w:sz="4" w:space="0"/>
            </w:tcBorders>
          </w:tcPr>
          <w:p w14:paraId="53D7450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10.1</w:t>
            </w:r>
          </w:p>
        </w:tc>
        <w:tc>
          <w:tcPr>
            <w:tcW w:w="3144" w:type="dxa"/>
            <w:tcBorders>
              <w:top w:val="nil"/>
              <w:left w:val="nil"/>
              <w:bottom w:val="single" w:color="auto" w:sz="4" w:space="0"/>
              <w:right w:val="single" w:color="auto" w:sz="4" w:space="0"/>
            </w:tcBorders>
          </w:tcPr>
          <w:p w14:paraId="047F7CF4">
            <w:pPr>
              <w:spacing w:line="240" w:lineRule="auto"/>
              <w:rPr>
                <w:rFonts w:ascii="Times New Roman" w:hAnsi="Times New Roman" w:eastAsia="Times New Roman"/>
                <w:sz w:val="16"/>
                <w:szCs w:val="16"/>
              </w:rPr>
            </w:pPr>
            <w:r>
              <w:rPr>
                <w:rFonts w:ascii="Times New Roman" w:hAnsi="Times New Roman" w:eastAsia="Times New Roman"/>
                <w:sz w:val="16"/>
                <w:szCs w:val="16"/>
              </w:rPr>
              <w:t>300 x 300mm Tiles laid on screed (measured separately) and joints filled in approved filler to match colour of tiles</w:t>
            </w:r>
          </w:p>
        </w:tc>
        <w:tc>
          <w:tcPr>
            <w:tcW w:w="960" w:type="dxa"/>
            <w:tcBorders>
              <w:top w:val="nil"/>
              <w:left w:val="nil"/>
              <w:bottom w:val="single" w:color="auto" w:sz="4" w:space="0"/>
              <w:right w:val="single" w:color="auto" w:sz="4" w:space="0"/>
            </w:tcBorders>
          </w:tcPr>
          <w:p w14:paraId="29E94F9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769F417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85</w:t>
            </w:r>
          </w:p>
        </w:tc>
        <w:tc>
          <w:tcPr>
            <w:tcW w:w="1900" w:type="dxa"/>
            <w:tcBorders>
              <w:top w:val="nil"/>
              <w:left w:val="nil"/>
              <w:bottom w:val="single" w:color="auto" w:sz="4" w:space="0"/>
              <w:right w:val="single" w:color="auto" w:sz="4" w:space="0"/>
            </w:tcBorders>
          </w:tcPr>
          <w:p w14:paraId="569FB531">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1,500.00 </w:t>
            </w:r>
          </w:p>
        </w:tc>
        <w:tc>
          <w:tcPr>
            <w:tcW w:w="1806" w:type="dxa"/>
            <w:tcBorders>
              <w:top w:val="nil"/>
              <w:left w:val="nil"/>
              <w:bottom w:val="single" w:color="auto" w:sz="4" w:space="0"/>
              <w:right w:val="single" w:color="auto" w:sz="8" w:space="0"/>
            </w:tcBorders>
          </w:tcPr>
          <w:p w14:paraId="47F70AE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127,500.00 </w:t>
            </w:r>
          </w:p>
        </w:tc>
      </w:tr>
      <w:tr w14:paraId="68B48E3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556283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5519A9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6A3D61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658FE4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F1FE66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5D6B39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A4ADD71">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71C065B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10.2</w:t>
            </w:r>
          </w:p>
        </w:tc>
        <w:tc>
          <w:tcPr>
            <w:tcW w:w="3144" w:type="dxa"/>
            <w:tcBorders>
              <w:top w:val="nil"/>
              <w:left w:val="nil"/>
              <w:bottom w:val="single" w:color="auto" w:sz="4" w:space="0"/>
              <w:right w:val="single" w:color="auto" w:sz="4" w:space="0"/>
            </w:tcBorders>
          </w:tcPr>
          <w:p w14:paraId="7D0BDF5E">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Ditto but laid as skirting 100mm high </w:t>
            </w:r>
          </w:p>
        </w:tc>
        <w:tc>
          <w:tcPr>
            <w:tcW w:w="960" w:type="dxa"/>
            <w:tcBorders>
              <w:top w:val="nil"/>
              <w:left w:val="nil"/>
              <w:bottom w:val="single" w:color="auto" w:sz="4" w:space="0"/>
              <w:right w:val="single" w:color="auto" w:sz="4" w:space="0"/>
            </w:tcBorders>
          </w:tcPr>
          <w:p w14:paraId="4B8525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4E0D4DB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13</w:t>
            </w:r>
          </w:p>
        </w:tc>
        <w:tc>
          <w:tcPr>
            <w:tcW w:w="1900" w:type="dxa"/>
            <w:tcBorders>
              <w:top w:val="nil"/>
              <w:left w:val="nil"/>
              <w:bottom w:val="single" w:color="auto" w:sz="4" w:space="0"/>
              <w:right w:val="single" w:color="auto" w:sz="4" w:space="0"/>
            </w:tcBorders>
          </w:tcPr>
          <w:p w14:paraId="6F6B440A">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500.00 </w:t>
            </w:r>
          </w:p>
        </w:tc>
        <w:tc>
          <w:tcPr>
            <w:tcW w:w="1806" w:type="dxa"/>
            <w:tcBorders>
              <w:top w:val="nil"/>
              <w:left w:val="nil"/>
              <w:bottom w:val="single" w:color="auto" w:sz="4" w:space="0"/>
              <w:right w:val="single" w:color="auto" w:sz="8" w:space="0"/>
            </w:tcBorders>
          </w:tcPr>
          <w:p w14:paraId="011E165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6,500.00 </w:t>
            </w:r>
          </w:p>
        </w:tc>
      </w:tr>
      <w:tr w14:paraId="550C981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51E24D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0787453">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8133F4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570AB8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E70BD7F">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622831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561D44C5">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5F32CEA4">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3B2E5D31">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Floor Finishes</w:t>
            </w:r>
          </w:p>
        </w:tc>
        <w:tc>
          <w:tcPr>
            <w:tcW w:w="960" w:type="dxa"/>
            <w:tcBorders>
              <w:top w:val="nil"/>
              <w:left w:val="nil"/>
              <w:bottom w:val="single" w:color="auto" w:sz="4" w:space="0"/>
              <w:right w:val="single" w:color="auto" w:sz="4" w:space="0"/>
            </w:tcBorders>
          </w:tcPr>
          <w:p w14:paraId="7CBA050D">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0760C547">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267CEA85">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213DACDC">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134,000.00 </w:t>
            </w:r>
          </w:p>
        </w:tc>
      </w:tr>
      <w:tr w14:paraId="62836C5E">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BE4130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7BAEF1A">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973801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F054B9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932C9C3">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C72FDE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8867EF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6E15040">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11</w:t>
            </w:r>
          </w:p>
        </w:tc>
        <w:tc>
          <w:tcPr>
            <w:tcW w:w="3144" w:type="dxa"/>
            <w:tcBorders>
              <w:top w:val="nil"/>
              <w:left w:val="nil"/>
              <w:bottom w:val="single" w:color="auto" w:sz="4" w:space="0"/>
              <w:right w:val="single" w:color="auto" w:sz="4" w:space="0"/>
            </w:tcBorders>
          </w:tcPr>
          <w:p w14:paraId="6CD09BFC">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PLUMBING AND DRAINAGE</w:t>
            </w:r>
          </w:p>
        </w:tc>
        <w:tc>
          <w:tcPr>
            <w:tcW w:w="960" w:type="dxa"/>
            <w:tcBorders>
              <w:top w:val="nil"/>
              <w:left w:val="nil"/>
              <w:bottom w:val="single" w:color="auto" w:sz="4" w:space="0"/>
              <w:right w:val="single" w:color="auto" w:sz="4" w:space="0"/>
            </w:tcBorders>
          </w:tcPr>
          <w:p w14:paraId="19FD129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CBF61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51611B6">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AB262D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A4EAC6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AC2822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309097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CBDADA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3BC47D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91E0C2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0C6163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267A1CF">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373880E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DB6BCAC">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Builders Work in Connection with Sanitary Fittings</w:t>
            </w:r>
          </w:p>
        </w:tc>
        <w:tc>
          <w:tcPr>
            <w:tcW w:w="960" w:type="dxa"/>
            <w:tcBorders>
              <w:top w:val="nil"/>
              <w:left w:val="nil"/>
              <w:bottom w:val="single" w:color="auto" w:sz="4" w:space="0"/>
              <w:right w:val="single" w:color="auto" w:sz="4" w:space="0"/>
            </w:tcBorders>
          </w:tcPr>
          <w:p w14:paraId="3670CB4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03356D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C97F742">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CF587C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5A84C5A">
        <w:tblPrEx>
          <w:tblCellMar>
            <w:top w:w="0" w:type="dxa"/>
            <w:left w:w="108" w:type="dxa"/>
            <w:bottom w:w="0" w:type="dxa"/>
            <w:right w:w="108" w:type="dxa"/>
          </w:tblCellMar>
        </w:tblPrEx>
        <w:trPr>
          <w:trHeight w:val="2295" w:hRule="atLeast"/>
        </w:trPr>
        <w:tc>
          <w:tcPr>
            <w:tcW w:w="576" w:type="dxa"/>
            <w:tcBorders>
              <w:top w:val="nil"/>
              <w:left w:val="single" w:color="auto" w:sz="8" w:space="0"/>
              <w:bottom w:val="single" w:color="auto" w:sz="4" w:space="0"/>
              <w:right w:val="single" w:color="auto" w:sz="4" w:space="0"/>
            </w:tcBorders>
          </w:tcPr>
          <w:p w14:paraId="2CB74FF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F83F22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 xml:space="preserve">Allow for cutting and leaving all necessary holes, notches, mortices, sinkings and chases both in the structure and its finishes and for all making good in connection with the following (All Provisional): - </w:t>
            </w:r>
          </w:p>
        </w:tc>
        <w:tc>
          <w:tcPr>
            <w:tcW w:w="960" w:type="dxa"/>
            <w:tcBorders>
              <w:top w:val="nil"/>
              <w:left w:val="nil"/>
              <w:bottom w:val="single" w:color="auto" w:sz="4" w:space="0"/>
              <w:right w:val="single" w:color="auto" w:sz="4" w:space="0"/>
            </w:tcBorders>
          </w:tcPr>
          <w:p w14:paraId="53EC9A5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6E9672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3270674">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B2F6E5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A97438E">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4860F9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611914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AFE9D0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4DA8EF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FAADAB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895818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8B50921">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08076FD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w:t>
            </w:r>
          </w:p>
        </w:tc>
        <w:tc>
          <w:tcPr>
            <w:tcW w:w="3144" w:type="dxa"/>
            <w:tcBorders>
              <w:top w:val="nil"/>
              <w:left w:val="nil"/>
              <w:bottom w:val="single" w:color="auto" w:sz="4" w:space="0"/>
              <w:right w:val="single" w:color="auto" w:sz="4" w:space="0"/>
            </w:tcBorders>
          </w:tcPr>
          <w:p w14:paraId="20592E25">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White vitreous china squatting level washdown W.C. suite complete </w:t>
            </w:r>
          </w:p>
        </w:tc>
        <w:tc>
          <w:tcPr>
            <w:tcW w:w="960" w:type="dxa"/>
            <w:tcBorders>
              <w:top w:val="nil"/>
              <w:left w:val="nil"/>
              <w:bottom w:val="single" w:color="auto" w:sz="4" w:space="0"/>
              <w:right w:val="single" w:color="auto" w:sz="4" w:space="0"/>
            </w:tcBorders>
          </w:tcPr>
          <w:p w14:paraId="184C020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36F6B66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w:t>
            </w:r>
          </w:p>
        </w:tc>
        <w:tc>
          <w:tcPr>
            <w:tcW w:w="1900" w:type="dxa"/>
            <w:tcBorders>
              <w:top w:val="nil"/>
              <w:left w:val="nil"/>
              <w:bottom w:val="single" w:color="auto" w:sz="4" w:space="0"/>
              <w:right w:val="single" w:color="auto" w:sz="4" w:space="0"/>
            </w:tcBorders>
          </w:tcPr>
          <w:p w14:paraId="31C0BB41">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3,750.00 </w:t>
            </w:r>
          </w:p>
        </w:tc>
        <w:tc>
          <w:tcPr>
            <w:tcW w:w="1806" w:type="dxa"/>
            <w:tcBorders>
              <w:top w:val="nil"/>
              <w:left w:val="nil"/>
              <w:bottom w:val="single" w:color="auto" w:sz="4" w:space="0"/>
              <w:right w:val="single" w:color="auto" w:sz="8" w:space="0"/>
            </w:tcBorders>
          </w:tcPr>
          <w:p w14:paraId="49DC6FA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22,500.00 </w:t>
            </w:r>
          </w:p>
        </w:tc>
      </w:tr>
      <w:tr w14:paraId="4F3050D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42C033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7833E3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0F6FF3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EAA2AD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13A3A9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1E7A84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4230926">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0B9A0A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11.2</w:t>
            </w:r>
          </w:p>
        </w:tc>
        <w:tc>
          <w:tcPr>
            <w:tcW w:w="3144" w:type="dxa"/>
            <w:tcBorders>
              <w:top w:val="nil"/>
              <w:left w:val="nil"/>
              <w:bottom w:val="single" w:color="auto" w:sz="4" w:space="0"/>
              <w:right w:val="single" w:color="auto" w:sz="4" w:space="0"/>
            </w:tcBorders>
          </w:tcPr>
          <w:p w14:paraId="2F9CDA8D">
            <w:pPr>
              <w:spacing w:line="240" w:lineRule="auto"/>
              <w:rPr>
                <w:rFonts w:ascii="Times New Roman" w:hAnsi="Times New Roman" w:eastAsia="Times New Roman"/>
                <w:sz w:val="16"/>
                <w:szCs w:val="16"/>
              </w:rPr>
            </w:pPr>
            <w:r>
              <w:rPr>
                <w:rFonts w:ascii="Times New Roman" w:hAnsi="Times New Roman" w:eastAsia="Times New Roman"/>
                <w:sz w:val="16"/>
                <w:szCs w:val="16"/>
              </w:rPr>
              <w:t>Hand held Bidet Shower complete</w:t>
            </w:r>
          </w:p>
        </w:tc>
        <w:tc>
          <w:tcPr>
            <w:tcW w:w="960" w:type="dxa"/>
            <w:tcBorders>
              <w:top w:val="nil"/>
              <w:left w:val="nil"/>
              <w:bottom w:val="single" w:color="auto" w:sz="4" w:space="0"/>
              <w:right w:val="single" w:color="auto" w:sz="4" w:space="0"/>
            </w:tcBorders>
          </w:tcPr>
          <w:p w14:paraId="2F790DA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520E26A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w:t>
            </w:r>
          </w:p>
        </w:tc>
        <w:tc>
          <w:tcPr>
            <w:tcW w:w="1900" w:type="dxa"/>
            <w:tcBorders>
              <w:top w:val="nil"/>
              <w:left w:val="nil"/>
              <w:bottom w:val="single" w:color="auto" w:sz="4" w:space="0"/>
              <w:right w:val="single" w:color="auto" w:sz="4" w:space="0"/>
            </w:tcBorders>
          </w:tcPr>
          <w:p w14:paraId="03EE6E41">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3,000.00 </w:t>
            </w:r>
          </w:p>
        </w:tc>
        <w:tc>
          <w:tcPr>
            <w:tcW w:w="1806" w:type="dxa"/>
            <w:tcBorders>
              <w:top w:val="nil"/>
              <w:left w:val="nil"/>
              <w:bottom w:val="single" w:color="auto" w:sz="4" w:space="0"/>
              <w:right w:val="single" w:color="auto" w:sz="8" w:space="0"/>
            </w:tcBorders>
          </w:tcPr>
          <w:p w14:paraId="6D0857F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18,000.00 </w:t>
            </w:r>
          </w:p>
        </w:tc>
      </w:tr>
      <w:tr w14:paraId="5054193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F22EB0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99EEE2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123A8E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012C80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B90C44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BC5DA4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8475459">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4557D54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11.3</w:t>
            </w:r>
          </w:p>
        </w:tc>
        <w:tc>
          <w:tcPr>
            <w:tcW w:w="3144" w:type="dxa"/>
            <w:tcBorders>
              <w:top w:val="nil"/>
              <w:left w:val="nil"/>
              <w:bottom w:val="single" w:color="auto" w:sz="4" w:space="0"/>
              <w:right w:val="single" w:color="auto" w:sz="4" w:space="0"/>
            </w:tcBorders>
          </w:tcPr>
          <w:p w14:paraId="559EDD03">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White vitreous china washbasin complete </w:t>
            </w:r>
          </w:p>
        </w:tc>
        <w:tc>
          <w:tcPr>
            <w:tcW w:w="960" w:type="dxa"/>
            <w:tcBorders>
              <w:top w:val="nil"/>
              <w:left w:val="nil"/>
              <w:bottom w:val="single" w:color="auto" w:sz="4" w:space="0"/>
              <w:right w:val="single" w:color="auto" w:sz="4" w:space="0"/>
            </w:tcBorders>
          </w:tcPr>
          <w:p w14:paraId="4A91A77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50D23ED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w:t>
            </w:r>
          </w:p>
        </w:tc>
        <w:tc>
          <w:tcPr>
            <w:tcW w:w="1900" w:type="dxa"/>
            <w:tcBorders>
              <w:top w:val="nil"/>
              <w:left w:val="nil"/>
              <w:bottom w:val="single" w:color="auto" w:sz="4" w:space="0"/>
              <w:right w:val="single" w:color="auto" w:sz="4" w:space="0"/>
            </w:tcBorders>
          </w:tcPr>
          <w:p w14:paraId="2CC2C528">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4,000.00 </w:t>
            </w:r>
          </w:p>
        </w:tc>
        <w:tc>
          <w:tcPr>
            <w:tcW w:w="1806" w:type="dxa"/>
            <w:tcBorders>
              <w:top w:val="nil"/>
              <w:left w:val="nil"/>
              <w:bottom w:val="single" w:color="auto" w:sz="4" w:space="0"/>
              <w:right w:val="single" w:color="auto" w:sz="8" w:space="0"/>
            </w:tcBorders>
          </w:tcPr>
          <w:p w14:paraId="471268B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24,000.00 </w:t>
            </w:r>
          </w:p>
        </w:tc>
      </w:tr>
      <w:tr w14:paraId="714A1CF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37BB27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B79B0A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679FB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0C2EBC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0DCC12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FEA0EE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B0B560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346FFC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11.4</w:t>
            </w:r>
          </w:p>
        </w:tc>
        <w:tc>
          <w:tcPr>
            <w:tcW w:w="3144" w:type="dxa"/>
            <w:tcBorders>
              <w:top w:val="nil"/>
              <w:left w:val="nil"/>
              <w:bottom w:val="single" w:color="auto" w:sz="4" w:space="0"/>
              <w:right w:val="single" w:color="auto" w:sz="4" w:space="0"/>
            </w:tcBorders>
          </w:tcPr>
          <w:p w14:paraId="15CF8ED3">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Shower unit complete </w:t>
            </w:r>
          </w:p>
        </w:tc>
        <w:tc>
          <w:tcPr>
            <w:tcW w:w="960" w:type="dxa"/>
            <w:tcBorders>
              <w:top w:val="nil"/>
              <w:left w:val="nil"/>
              <w:bottom w:val="single" w:color="auto" w:sz="4" w:space="0"/>
              <w:right w:val="single" w:color="auto" w:sz="4" w:space="0"/>
            </w:tcBorders>
          </w:tcPr>
          <w:p w14:paraId="56A6EF1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5D2F5FA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7D74A39D">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4,500.00 </w:t>
            </w:r>
          </w:p>
        </w:tc>
        <w:tc>
          <w:tcPr>
            <w:tcW w:w="1806" w:type="dxa"/>
            <w:tcBorders>
              <w:top w:val="nil"/>
              <w:left w:val="nil"/>
              <w:bottom w:val="single" w:color="auto" w:sz="4" w:space="0"/>
              <w:right w:val="single" w:color="auto" w:sz="8" w:space="0"/>
            </w:tcBorders>
          </w:tcPr>
          <w:p w14:paraId="7EB5AF1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9,000.00 </w:t>
            </w:r>
          </w:p>
        </w:tc>
      </w:tr>
      <w:tr w14:paraId="09E6FAB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CF045C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8B29B9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707F30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7043BF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87CA74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12A2C0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91E3E9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D2CAB2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11.5</w:t>
            </w:r>
          </w:p>
        </w:tc>
        <w:tc>
          <w:tcPr>
            <w:tcW w:w="3144" w:type="dxa"/>
            <w:tcBorders>
              <w:top w:val="nil"/>
              <w:left w:val="nil"/>
              <w:bottom w:val="single" w:color="auto" w:sz="4" w:space="0"/>
              <w:right w:val="single" w:color="auto" w:sz="4" w:space="0"/>
            </w:tcBorders>
          </w:tcPr>
          <w:p w14:paraId="35AEAFE4">
            <w:pPr>
              <w:spacing w:line="240" w:lineRule="auto"/>
              <w:rPr>
                <w:rFonts w:ascii="Times New Roman" w:hAnsi="Times New Roman" w:eastAsia="Times New Roman"/>
                <w:sz w:val="16"/>
                <w:szCs w:val="16"/>
              </w:rPr>
            </w:pPr>
            <w:r>
              <w:rPr>
                <w:rFonts w:ascii="Times New Roman" w:hAnsi="Times New Roman" w:eastAsia="Times New Roman"/>
                <w:sz w:val="16"/>
                <w:szCs w:val="16"/>
              </w:rPr>
              <w:t>Mirror size 3000 x 600mm</w:t>
            </w:r>
          </w:p>
        </w:tc>
        <w:tc>
          <w:tcPr>
            <w:tcW w:w="960" w:type="dxa"/>
            <w:tcBorders>
              <w:top w:val="nil"/>
              <w:left w:val="nil"/>
              <w:bottom w:val="single" w:color="auto" w:sz="4" w:space="0"/>
              <w:right w:val="single" w:color="auto" w:sz="4" w:space="0"/>
            </w:tcBorders>
          </w:tcPr>
          <w:p w14:paraId="099E84A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21532DA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0F0AD0E9">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2,000.00 </w:t>
            </w:r>
          </w:p>
        </w:tc>
        <w:tc>
          <w:tcPr>
            <w:tcW w:w="1806" w:type="dxa"/>
            <w:tcBorders>
              <w:top w:val="nil"/>
              <w:left w:val="nil"/>
              <w:bottom w:val="single" w:color="auto" w:sz="4" w:space="0"/>
              <w:right w:val="single" w:color="auto" w:sz="8" w:space="0"/>
            </w:tcBorders>
          </w:tcPr>
          <w:p w14:paraId="2CFD367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4,000.00 </w:t>
            </w:r>
          </w:p>
        </w:tc>
      </w:tr>
      <w:tr w14:paraId="323D917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853901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8CB20B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3B2D0F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E076E5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E200A6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E3C816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F624BC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F02EA9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11.6</w:t>
            </w:r>
          </w:p>
        </w:tc>
        <w:tc>
          <w:tcPr>
            <w:tcW w:w="3144" w:type="dxa"/>
            <w:tcBorders>
              <w:top w:val="nil"/>
              <w:left w:val="nil"/>
              <w:bottom w:val="single" w:color="auto" w:sz="4" w:space="0"/>
              <w:right w:val="single" w:color="auto" w:sz="4" w:space="0"/>
            </w:tcBorders>
          </w:tcPr>
          <w:p w14:paraId="2DEE3A3C">
            <w:pPr>
              <w:spacing w:line="240" w:lineRule="auto"/>
              <w:rPr>
                <w:rFonts w:ascii="Times New Roman" w:hAnsi="Times New Roman" w:eastAsia="Times New Roman"/>
                <w:sz w:val="16"/>
                <w:szCs w:val="16"/>
              </w:rPr>
            </w:pPr>
            <w:r>
              <w:rPr>
                <w:rFonts w:ascii="Times New Roman" w:hAnsi="Times New Roman" w:eastAsia="Times New Roman"/>
                <w:sz w:val="16"/>
                <w:szCs w:val="16"/>
              </w:rPr>
              <w:t>Toilet roll holder</w:t>
            </w:r>
          </w:p>
        </w:tc>
        <w:tc>
          <w:tcPr>
            <w:tcW w:w="960" w:type="dxa"/>
            <w:tcBorders>
              <w:top w:val="nil"/>
              <w:left w:val="nil"/>
              <w:bottom w:val="single" w:color="auto" w:sz="4" w:space="0"/>
              <w:right w:val="single" w:color="auto" w:sz="4" w:space="0"/>
            </w:tcBorders>
          </w:tcPr>
          <w:p w14:paraId="273CDD0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64F8F99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w:t>
            </w:r>
          </w:p>
        </w:tc>
        <w:tc>
          <w:tcPr>
            <w:tcW w:w="1900" w:type="dxa"/>
            <w:tcBorders>
              <w:top w:val="nil"/>
              <w:left w:val="nil"/>
              <w:bottom w:val="single" w:color="auto" w:sz="4" w:space="0"/>
              <w:right w:val="single" w:color="auto" w:sz="4" w:space="0"/>
            </w:tcBorders>
          </w:tcPr>
          <w:p w14:paraId="3E8CD739">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600.00 </w:t>
            </w:r>
          </w:p>
        </w:tc>
        <w:tc>
          <w:tcPr>
            <w:tcW w:w="1806" w:type="dxa"/>
            <w:tcBorders>
              <w:top w:val="nil"/>
              <w:left w:val="nil"/>
              <w:bottom w:val="single" w:color="auto" w:sz="4" w:space="0"/>
              <w:right w:val="single" w:color="auto" w:sz="8" w:space="0"/>
            </w:tcBorders>
          </w:tcPr>
          <w:p w14:paraId="3C2981B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3,600.00 </w:t>
            </w:r>
          </w:p>
        </w:tc>
      </w:tr>
      <w:tr w14:paraId="55F9E35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9020CA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EAB2F3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83F29B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A2F6DE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898016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A7A6EC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FDEC18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6E93B99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11.7</w:t>
            </w:r>
          </w:p>
        </w:tc>
        <w:tc>
          <w:tcPr>
            <w:tcW w:w="3144" w:type="dxa"/>
            <w:tcBorders>
              <w:top w:val="nil"/>
              <w:left w:val="nil"/>
              <w:bottom w:val="single" w:color="auto" w:sz="4" w:space="0"/>
              <w:right w:val="single" w:color="auto" w:sz="4" w:space="0"/>
            </w:tcBorders>
          </w:tcPr>
          <w:p w14:paraId="344434D8">
            <w:pPr>
              <w:spacing w:line="240" w:lineRule="auto"/>
              <w:rPr>
                <w:rFonts w:ascii="Times New Roman" w:hAnsi="Times New Roman" w:eastAsia="Times New Roman"/>
                <w:sz w:val="16"/>
                <w:szCs w:val="16"/>
              </w:rPr>
            </w:pPr>
            <w:r>
              <w:rPr>
                <w:rFonts w:ascii="Times New Roman" w:hAnsi="Times New Roman" w:eastAsia="Times New Roman"/>
                <w:sz w:val="16"/>
                <w:szCs w:val="16"/>
              </w:rPr>
              <w:t>Recessed soap tray</w:t>
            </w:r>
          </w:p>
        </w:tc>
        <w:tc>
          <w:tcPr>
            <w:tcW w:w="960" w:type="dxa"/>
            <w:tcBorders>
              <w:top w:val="nil"/>
              <w:left w:val="nil"/>
              <w:bottom w:val="single" w:color="auto" w:sz="4" w:space="0"/>
              <w:right w:val="single" w:color="auto" w:sz="4" w:space="0"/>
            </w:tcBorders>
          </w:tcPr>
          <w:p w14:paraId="37AC0B8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5E42F15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49317264">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600.00 </w:t>
            </w:r>
          </w:p>
        </w:tc>
        <w:tc>
          <w:tcPr>
            <w:tcW w:w="1806" w:type="dxa"/>
            <w:tcBorders>
              <w:top w:val="nil"/>
              <w:left w:val="nil"/>
              <w:bottom w:val="single" w:color="auto" w:sz="4" w:space="0"/>
              <w:right w:val="single" w:color="auto" w:sz="8" w:space="0"/>
            </w:tcBorders>
          </w:tcPr>
          <w:p w14:paraId="08FE53B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1,200.00 </w:t>
            </w:r>
          </w:p>
        </w:tc>
      </w:tr>
      <w:tr w14:paraId="76BEB0B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FB3A31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984D95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893921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059276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74924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C1402D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6C91766">
        <w:tblPrEx>
          <w:tblCellMar>
            <w:top w:w="0" w:type="dxa"/>
            <w:left w:w="108" w:type="dxa"/>
            <w:bottom w:w="0" w:type="dxa"/>
            <w:right w:w="108" w:type="dxa"/>
          </w:tblCellMar>
        </w:tblPrEx>
        <w:trPr>
          <w:trHeight w:val="1020" w:hRule="atLeast"/>
        </w:trPr>
        <w:tc>
          <w:tcPr>
            <w:tcW w:w="576" w:type="dxa"/>
            <w:tcBorders>
              <w:top w:val="nil"/>
              <w:left w:val="single" w:color="auto" w:sz="8" w:space="0"/>
              <w:bottom w:val="single" w:color="auto" w:sz="4" w:space="0"/>
              <w:right w:val="single" w:color="auto" w:sz="4" w:space="0"/>
            </w:tcBorders>
          </w:tcPr>
          <w:p w14:paraId="0C8DA9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11.8</w:t>
            </w:r>
          </w:p>
        </w:tc>
        <w:tc>
          <w:tcPr>
            <w:tcW w:w="3144" w:type="dxa"/>
            <w:tcBorders>
              <w:top w:val="nil"/>
              <w:left w:val="nil"/>
              <w:bottom w:val="single" w:color="auto" w:sz="4" w:space="0"/>
              <w:right w:val="single" w:color="auto" w:sz="4" w:space="0"/>
            </w:tcBorders>
          </w:tcPr>
          <w:p w14:paraId="31B62C27">
            <w:pPr>
              <w:spacing w:line="240" w:lineRule="auto"/>
              <w:rPr>
                <w:rFonts w:ascii="Times New Roman" w:hAnsi="Times New Roman" w:eastAsia="Times New Roman"/>
                <w:sz w:val="16"/>
                <w:szCs w:val="16"/>
              </w:rPr>
            </w:pPr>
            <w:r>
              <w:rPr>
                <w:rFonts w:ascii="Times New Roman" w:hAnsi="Times New Roman" w:eastAsia="Times New Roman"/>
                <w:sz w:val="16"/>
                <w:szCs w:val="16"/>
              </w:rPr>
              <w:t>Chrome plated shower rail size 25mm diameter x 900mm long complete with fixtures</w:t>
            </w:r>
          </w:p>
        </w:tc>
        <w:tc>
          <w:tcPr>
            <w:tcW w:w="960" w:type="dxa"/>
            <w:tcBorders>
              <w:top w:val="nil"/>
              <w:left w:val="nil"/>
              <w:bottom w:val="single" w:color="auto" w:sz="4" w:space="0"/>
              <w:right w:val="single" w:color="auto" w:sz="4" w:space="0"/>
            </w:tcBorders>
          </w:tcPr>
          <w:p w14:paraId="34C8A23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100508B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2C2BB59D">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1,250.00 </w:t>
            </w:r>
          </w:p>
        </w:tc>
        <w:tc>
          <w:tcPr>
            <w:tcW w:w="1806" w:type="dxa"/>
            <w:tcBorders>
              <w:top w:val="nil"/>
              <w:left w:val="nil"/>
              <w:bottom w:val="single" w:color="auto" w:sz="4" w:space="0"/>
              <w:right w:val="single" w:color="auto" w:sz="8" w:space="0"/>
            </w:tcBorders>
          </w:tcPr>
          <w:p w14:paraId="23E301C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2,500.00 </w:t>
            </w:r>
          </w:p>
        </w:tc>
      </w:tr>
      <w:tr w14:paraId="5007E0D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B937C8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41DCE3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67C04A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ECAF56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B36150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4D0F9B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8E8255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949039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11.9</w:t>
            </w:r>
          </w:p>
        </w:tc>
        <w:tc>
          <w:tcPr>
            <w:tcW w:w="3144" w:type="dxa"/>
            <w:tcBorders>
              <w:top w:val="nil"/>
              <w:left w:val="nil"/>
              <w:bottom w:val="single" w:color="auto" w:sz="4" w:space="0"/>
              <w:right w:val="single" w:color="auto" w:sz="4" w:space="0"/>
            </w:tcBorders>
          </w:tcPr>
          <w:p w14:paraId="611B0115">
            <w:pPr>
              <w:spacing w:line="240" w:lineRule="auto"/>
              <w:rPr>
                <w:rFonts w:ascii="Times New Roman" w:hAnsi="Times New Roman" w:eastAsia="Times New Roman"/>
                <w:sz w:val="16"/>
                <w:szCs w:val="16"/>
              </w:rPr>
            </w:pPr>
            <w:r>
              <w:rPr>
                <w:rFonts w:ascii="Times New Roman" w:hAnsi="Times New Roman" w:eastAsia="Times New Roman"/>
                <w:sz w:val="16"/>
                <w:szCs w:val="16"/>
              </w:rPr>
              <w:t>Electronic hand driyer</w:t>
            </w:r>
          </w:p>
        </w:tc>
        <w:tc>
          <w:tcPr>
            <w:tcW w:w="960" w:type="dxa"/>
            <w:tcBorders>
              <w:top w:val="nil"/>
              <w:left w:val="nil"/>
              <w:bottom w:val="single" w:color="auto" w:sz="4" w:space="0"/>
              <w:right w:val="single" w:color="auto" w:sz="4" w:space="0"/>
            </w:tcBorders>
          </w:tcPr>
          <w:p w14:paraId="640564E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3DFE0AA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55EB7CBD">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7,500.00 </w:t>
            </w:r>
          </w:p>
        </w:tc>
        <w:tc>
          <w:tcPr>
            <w:tcW w:w="1806" w:type="dxa"/>
            <w:tcBorders>
              <w:top w:val="nil"/>
              <w:left w:val="nil"/>
              <w:bottom w:val="single" w:color="auto" w:sz="4" w:space="0"/>
              <w:right w:val="single" w:color="auto" w:sz="8" w:space="0"/>
            </w:tcBorders>
          </w:tcPr>
          <w:p w14:paraId="461D30D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15,000.00 </w:t>
            </w:r>
          </w:p>
        </w:tc>
      </w:tr>
      <w:tr w14:paraId="1D93BD8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CEE388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9FB616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BD51F8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A289B0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2D0FCF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68669B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68D282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7DB72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11.10</w:t>
            </w:r>
          </w:p>
        </w:tc>
        <w:tc>
          <w:tcPr>
            <w:tcW w:w="3144" w:type="dxa"/>
            <w:tcBorders>
              <w:top w:val="nil"/>
              <w:left w:val="nil"/>
              <w:bottom w:val="single" w:color="auto" w:sz="4" w:space="0"/>
              <w:right w:val="single" w:color="auto" w:sz="4" w:space="0"/>
            </w:tcBorders>
          </w:tcPr>
          <w:p w14:paraId="48CE6095">
            <w:pPr>
              <w:spacing w:line="240" w:lineRule="auto"/>
              <w:rPr>
                <w:rFonts w:ascii="Times New Roman" w:hAnsi="Times New Roman" w:eastAsia="Times New Roman"/>
                <w:sz w:val="16"/>
                <w:szCs w:val="16"/>
              </w:rPr>
            </w:pPr>
            <w:r>
              <w:rPr>
                <w:rFonts w:ascii="Times New Roman" w:hAnsi="Times New Roman" w:eastAsia="Times New Roman"/>
                <w:sz w:val="16"/>
                <w:szCs w:val="16"/>
              </w:rPr>
              <w:t>Collapsible seat in washroom</w:t>
            </w:r>
          </w:p>
        </w:tc>
        <w:tc>
          <w:tcPr>
            <w:tcW w:w="960" w:type="dxa"/>
            <w:tcBorders>
              <w:top w:val="nil"/>
              <w:left w:val="nil"/>
              <w:bottom w:val="single" w:color="auto" w:sz="4" w:space="0"/>
              <w:right w:val="single" w:color="auto" w:sz="4" w:space="0"/>
            </w:tcBorders>
          </w:tcPr>
          <w:p w14:paraId="305C016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54ADCA7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2A3E1EF6">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15,000.00 </w:t>
            </w:r>
          </w:p>
        </w:tc>
        <w:tc>
          <w:tcPr>
            <w:tcW w:w="1806" w:type="dxa"/>
            <w:tcBorders>
              <w:top w:val="nil"/>
              <w:left w:val="nil"/>
              <w:bottom w:val="single" w:color="auto" w:sz="4" w:space="0"/>
              <w:right w:val="single" w:color="auto" w:sz="8" w:space="0"/>
            </w:tcBorders>
          </w:tcPr>
          <w:p w14:paraId="2C369F6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30,000.00 </w:t>
            </w:r>
          </w:p>
        </w:tc>
      </w:tr>
      <w:tr w14:paraId="25FB62E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04B1B5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C63CB84">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B835FA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9F9FF5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6C636E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D35048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82340F6">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380DB95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11.11</w:t>
            </w:r>
          </w:p>
        </w:tc>
        <w:tc>
          <w:tcPr>
            <w:tcW w:w="3144" w:type="dxa"/>
            <w:tcBorders>
              <w:top w:val="nil"/>
              <w:left w:val="nil"/>
              <w:bottom w:val="single" w:color="auto" w:sz="4" w:space="0"/>
              <w:right w:val="single" w:color="auto" w:sz="4" w:space="0"/>
            </w:tcBorders>
          </w:tcPr>
          <w:p w14:paraId="018C29C2">
            <w:pPr>
              <w:spacing w:line="240" w:lineRule="auto"/>
              <w:rPr>
                <w:rFonts w:ascii="Times New Roman" w:hAnsi="Times New Roman" w:eastAsia="Times New Roman"/>
                <w:sz w:val="16"/>
                <w:szCs w:val="16"/>
              </w:rPr>
            </w:pPr>
            <w:r>
              <w:rPr>
                <w:rFonts w:ascii="Times New Roman" w:hAnsi="Times New Roman" w:eastAsia="Times New Roman"/>
                <w:sz w:val="16"/>
                <w:szCs w:val="16"/>
              </w:rPr>
              <w:t>Collapsible baby changing platform</w:t>
            </w:r>
          </w:p>
        </w:tc>
        <w:tc>
          <w:tcPr>
            <w:tcW w:w="960" w:type="dxa"/>
            <w:tcBorders>
              <w:top w:val="nil"/>
              <w:left w:val="nil"/>
              <w:bottom w:val="single" w:color="auto" w:sz="4" w:space="0"/>
              <w:right w:val="single" w:color="auto" w:sz="4" w:space="0"/>
            </w:tcBorders>
          </w:tcPr>
          <w:p w14:paraId="792AA13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7377752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48D53034">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1,150.00 </w:t>
            </w:r>
          </w:p>
        </w:tc>
        <w:tc>
          <w:tcPr>
            <w:tcW w:w="1806" w:type="dxa"/>
            <w:tcBorders>
              <w:top w:val="nil"/>
              <w:left w:val="nil"/>
              <w:bottom w:val="single" w:color="auto" w:sz="4" w:space="0"/>
              <w:right w:val="single" w:color="auto" w:sz="8" w:space="0"/>
            </w:tcBorders>
          </w:tcPr>
          <w:p w14:paraId="35A7242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2,300.00 </w:t>
            </w:r>
          </w:p>
        </w:tc>
      </w:tr>
      <w:tr w14:paraId="0BF33A7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B80182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C2C4505">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960C66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0A750E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DD87E4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57105A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3A6428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D172D9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D3BE5F2">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Sanitary Appliances</w:t>
            </w:r>
          </w:p>
        </w:tc>
        <w:tc>
          <w:tcPr>
            <w:tcW w:w="960" w:type="dxa"/>
            <w:tcBorders>
              <w:top w:val="nil"/>
              <w:left w:val="nil"/>
              <w:bottom w:val="single" w:color="auto" w:sz="4" w:space="0"/>
              <w:right w:val="single" w:color="auto" w:sz="4" w:space="0"/>
            </w:tcBorders>
          </w:tcPr>
          <w:p w14:paraId="0DF15FB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FF0B68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0985AB3">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FDC5B4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CE6784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C53149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A493BF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68D860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E5AE57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023331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16CFB0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33592E0">
        <w:tblPrEx>
          <w:tblCellMar>
            <w:top w:w="0" w:type="dxa"/>
            <w:left w:w="108" w:type="dxa"/>
            <w:bottom w:w="0" w:type="dxa"/>
            <w:right w:w="108" w:type="dxa"/>
          </w:tblCellMar>
        </w:tblPrEx>
        <w:trPr>
          <w:trHeight w:val="1275" w:hRule="atLeast"/>
        </w:trPr>
        <w:tc>
          <w:tcPr>
            <w:tcW w:w="576" w:type="dxa"/>
            <w:tcBorders>
              <w:top w:val="nil"/>
              <w:left w:val="single" w:color="auto" w:sz="8" w:space="0"/>
              <w:bottom w:val="single" w:color="auto" w:sz="4" w:space="0"/>
              <w:right w:val="single" w:color="auto" w:sz="4" w:space="0"/>
            </w:tcBorders>
          </w:tcPr>
          <w:p w14:paraId="00A0517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11.12</w:t>
            </w:r>
          </w:p>
        </w:tc>
        <w:tc>
          <w:tcPr>
            <w:tcW w:w="3144" w:type="dxa"/>
            <w:tcBorders>
              <w:top w:val="nil"/>
              <w:left w:val="nil"/>
              <w:bottom w:val="single" w:color="auto" w:sz="4" w:space="0"/>
              <w:right w:val="single" w:color="auto" w:sz="4" w:space="0"/>
            </w:tcBorders>
          </w:tcPr>
          <w:p w14:paraId="21624C1A">
            <w:pPr>
              <w:spacing w:line="240" w:lineRule="auto"/>
              <w:rPr>
                <w:rFonts w:ascii="Times New Roman" w:hAnsi="Times New Roman" w:eastAsia="Times New Roman"/>
                <w:sz w:val="16"/>
                <w:szCs w:val="16"/>
              </w:rPr>
            </w:pPr>
            <w:r>
              <w:rPr>
                <w:rFonts w:ascii="Times New Roman" w:hAnsi="Times New Roman" w:eastAsia="Times New Roman"/>
                <w:sz w:val="16"/>
                <w:szCs w:val="16"/>
              </w:rPr>
              <w:t>White vitreous china squatting level wash down Water Closet suit complete with high level 6 litre cistern and flush pipe.</w:t>
            </w:r>
          </w:p>
        </w:tc>
        <w:tc>
          <w:tcPr>
            <w:tcW w:w="960" w:type="dxa"/>
            <w:tcBorders>
              <w:top w:val="nil"/>
              <w:left w:val="nil"/>
              <w:bottom w:val="single" w:color="auto" w:sz="4" w:space="0"/>
              <w:right w:val="single" w:color="auto" w:sz="4" w:space="0"/>
            </w:tcBorders>
          </w:tcPr>
          <w:p w14:paraId="530E3D5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6453106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w:t>
            </w:r>
          </w:p>
        </w:tc>
        <w:tc>
          <w:tcPr>
            <w:tcW w:w="1900" w:type="dxa"/>
            <w:tcBorders>
              <w:top w:val="nil"/>
              <w:left w:val="nil"/>
              <w:bottom w:val="single" w:color="auto" w:sz="4" w:space="0"/>
              <w:right w:val="single" w:color="auto" w:sz="4" w:space="0"/>
            </w:tcBorders>
          </w:tcPr>
          <w:p w14:paraId="61A9E609">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10,000.00 </w:t>
            </w:r>
          </w:p>
        </w:tc>
        <w:tc>
          <w:tcPr>
            <w:tcW w:w="1806" w:type="dxa"/>
            <w:tcBorders>
              <w:top w:val="nil"/>
              <w:left w:val="nil"/>
              <w:bottom w:val="single" w:color="auto" w:sz="4" w:space="0"/>
              <w:right w:val="single" w:color="auto" w:sz="8" w:space="0"/>
            </w:tcBorders>
          </w:tcPr>
          <w:p w14:paraId="4DEAC93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60,000.00 </w:t>
            </w:r>
          </w:p>
        </w:tc>
      </w:tr>
      <w:tr w14:paraId="4F8AC93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950840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0E6B70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E09166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DAD85D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4F3B4A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4669C6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D047B0A">
        <w:tblPrEx>
          <w:tblCellMar>
            <w:top w:w="0" w:type="dxa"/>
            <w:left w:w="108" w:type="dxa"/>
            <w:bottom w:w="0" w:type="dxa"/>
            <w:right w:w="108" w:type="dxa"/>
          </w:tblCellMar>
        </w:tblPrEx>
        <w:trPr>
          <w:trHeight w:val="1275" w:hRule="atLeast"/>
        </w:trPr>
        <w:tc>
          <w:tcPr>
            <w:tcW w:w="576" w:type="dxa"/>
            <w:tcBorders>
              <w:top w:val="nil"/>
              <w:left w:val="single" w:color="auto" w:sz="8" w:space="0"/>
              <w:bottom w:val="single" w:color="auto" w:sz="4" w:space="0"/>
              <w:right w:val="single" w:color="auto" w:sz="4" w:space="0"/>
            </w:tcBorders>
          </w:tcPr>
          <w:p w14:paraId="1A5582B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11.13</w:t>
            </w:r>
          </w:p>
        </w:tc>
        <w:tc>
          <w:tcPr>
            <w:tcW w:w="3144" w:type="dxa"/>
            <w:tcBorders>
              <w:top w:val="nil"/>
              <w:left w:val="nil"/>
              <w:bottom w:val="single" w:color="auto" w:sz="4" w:space="0"/>
              <w:right w:val="single" w:color="auto" w:sz="4" w:space="0"/>
            </w:tcBorders>
          </w:tcPr>
          <w:p w14:paraId="5D839FFC">
            <w:pPr>
              <w:spacing w:line="240" w:lineRule="auto"/>
              <w:rPr>
                <w:rFonts w:ascii="Times New Roman" w:hAnsi="Times New Roman" w:eastAsia="Times New Roman"/>
                <w:sz w:val="16"/>
                <w:szCs w:val="16"/>
              </w:rPr>
            </w:pPr>
            <w:r>
              <w:rPr>
                <w:rFonts w:ascii="Times New Roman" w:hAnsi="Times New Roman" w:eastAsia="Times New Roman"/>
                <w:sz w:val="16"/>
                <w:szCs w:val="16"/>
              </w:rPr>
              <w:t>1.5m long polished chrome flexible hose,20mm dia. Handheld stainless steel bidet shower with flexible coupling</w:t>
            </w:r>
          </w:p>
        </w:tc>
        <w:tc>
          <w:tcPr>
            <w:tcW w:w="960" w:type="dxa"/>
            <w:tcBorders>
              <w:top w:val="nil"/>
              <w:left w:val="nil"/>
              <w:bottom w:val="single" w:color="auto" w:sz="4" w:space="0"/>
              <w:right w:val="single" w:color="auto" w:sz="4" w:space="0"/>
            </w:tcBorders>
          </w:tcPr>
          <w:p w14:paraId="1D9D5EA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39456A9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w:t>
            </w:r>
          </w:p>
        </w:tc>
        <w:tc>
          <w:tcPr>
            <w:tcW w:w="1900" w:type="dxa"/>
            <w:tcBorders>
              <w:top w:val="nil"/>
              <w:left w:val="nil"/>
              <w:bottom w:val="single" w:color="auto" w:sz="4" w:space="0"/>
              <w:right w:val="single" w:color="auto" w:sz="4" w:space="0"/>
            </w:tcBorders>
          </w:tcPr>
          <w:p w14:paraId="3717CE1F">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2,500.00 </w:t>
            </w:r>
          </w:p>
        </w:tc>
        <w:tc>
          <w:tcPr>
            <w:tcW w:w="1806" w:type="dxa"/>
            <w:tcBorders>
              <w:top w:val="nil"/>
              <w:left w:val="nil"/>
              <w:bottom w:val="single" w:color="auto" w:sz="4" w:space="0"/>
              <w:right w:val="single" w:color="auto" w:sz="8" w:space="0"/>
            </w:tcBorders>
          </w:tcPr>
          <w:p w14:paraId="274B40D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15,000.00 </w:t>
            </w:r>
          </w:p>
        </w:tc>
      </w:tr>
      <w:tr w14:paraId="4B8A8B1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FF0E1C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7139E5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6AF197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670051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27FA1D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5716DB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16B8F91">
        <w:tblPrEx>
          <w:tblCellMar>
            <w:top w:w="0" w:type="dxa"/>
            <w:left w:w="108" w:type="dxa"/>
            <w:bottom w:w="0" w:type="dxa"/>
            <w:right w:w="108" w:type="dxa"/>
          </w:tblCellMar>
        </w:tblPrEx>
        <w:trPr>
          <w:trHeight w:val="1020" w:hRule="atLeast"/>
        </w:trPr>
        <w:tc>
          <w:tcPr>
            <w:tcW w:w="576" w:type="dxa"/>
            <w:tcBorders>
              <w:top w:val="nil"/>
              <w:left w:val="single" w:color="auto" w:sz="8" w:space="0"/>
              <w:bottom w:val="single" w:color="auto" w:sz="4" w:space="0"/>
              <w:right w:val="single" w:color="auto" w:sz="4" w:space="0"/>
            </w:tcBorders>
          </w:tcPr>
          <w:p w14:paraId="1D072FD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11.14</w:t>
            </w:r>
          </w:p>
        </w:tc>
        <w:tc>
          <w:tcPr>
            <w:tcW w:w="3144" w:type="dxa"/>
            <w:tcBorders>
              <w:top w:val="nil"/>
              <w:left w:val="nil"/>
              <w:bottom w:val="single" w:color="auto" w:sz="4" w:space="0"/>
              <w:right w:val="single" w:color="auto" w:sz="4" w:space="0"/>
            </w:tcBorders>
          </w:tcPr>
          <w:p w14:paraId="37C28127">
            <w:pPr>
              <w:spacing w:line="240" w:lineRule="auto"/>
              <w:rPr>
                <w:rFonts w:ascii="Times New Roman" w:hAnsi="Times New Roman" w:eastAsia="Times New Roman"/>
                <w:sz w:val="16"/>
                <w:szCs w:val="16"/>
              </w:rPr>
            </w:pPr>
            <w:r>
              <w:rPr>
                <w:rFonts w:ascii="Times New Roman" w:hAnsi="Times New Roman" w:eastAsia="Times New Roman"/>
                <w:sz w:val="16"/>
                <w:szCs w:val="16"/>
              </w:rPr>
              <w:t>Urinal bowl with urinal automatic flushing system complete with cistern and flush pipes</w:t>
            </w:r>
          </w:p>
        </w:tc>
        <w:tc>
          <w:tcPr>
            <w:tcW w:w="960" w:type="dxa"/>
            <w:tcBorders>
              <w:top w:val="nil"/>
              <w:left w:val="nil"/>
              <w:bottom w:val="single" w:color="auto" w:sz="4" w:space="0"/>
              <w:right w:val="single" w:color="auto" w:sz="4" w:space="0"/>
            </w:tcBorders>
          </w:tcPr>
          <w:p w14:paraId="3BE1844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559D03E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4</w:t>
            </w:r>
          </w:p>
        </w:tc>
        <w:tc>
          <w:tcPr>
            <w:tcW w:w="1900" w:type="dxa"/>
            <w:tcBorders>
              <w:top w:val="nil"/>
              <w:left w:val="nil"/>
              <w:bottom w:val="single" w:color="auto" w:sz="4" w:space="0"/>
              <w:right w:val="single" w:color="auto" w:sz="4" w:space="0"/>
            </w:tcBorders>
          </w:tcPr>
          <w:p w14:paraId="03AB2915">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6,500.00 </w:t>
            </w:r>
          </w:p>
        </w:tc>
        <w:tc>
          <w:tcPr>
            <w:tcW w:w="1806" w:type="dxa"/>
            <w:tcBorders>
              <w:top w:val="nil"/>
              <w:left w:val="nil"/>
              <w:bottom w:val="single" w:color="auto" w:sz="4" w:space="0"/>
              <w:right w:val="single" w:color="auto" w:sz="8" w:space="0"/>
            </w:tcBorders>
          </w:tcPr>
          <w:p w14:paraId="5853C9A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26,000.00 </w:t>
            </w:r>
          </w:p>
        </w:tc>
      </w:tr>
      <w:tr w14:paraId="2AADA87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66F723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C7E495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3D0EE9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15D07A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8FC008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6AD8AA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588B0BE">
        <w:tblPrEx>
          <w:tblCellMar>
            <w:top w:w="0" w:type="dxa"/>
            <w:left w:w="108" w:type="dxa"/>
            <w:bottom w:w="0" w:type="dxa"/>
            <w:right w:w="108" w:type="dxa"/>
          </w:tblCellMar>
        </w:tblPrEx>
        <w:trPr>
          <w:trHeight w:val="2550" w:hRule="atLeast"/>
        </w:trPr>
        <w:tc>
          <w:tcPr>
            <w:tcW w:w="576" w:type="dxa"/>
            <w:tcBorders>
              <w:top w:val="nil"/>
              <w:left w:val="single" w:color="auto" w:sz="8" w:space="0"/>
              <w:bottom w:val="single" w:color="auto" w:sz="4" w:space="0"/>
              <w:right w:val="single" w:color="auto" w:sz="4" w:space="0"/>
            </w:tcBorders>
          </w:tcPr>
          <w:p w14:paraId="6325087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11.15</w:t>
            </w:r>
          </w:p>
        </w:tc>
        <w:tc>
          <w:tcPr>
            <w:tcW w:w="3144" w:type="dxa"/>
            <w:tcBorders>
              <w:top w:val="nil"/>
              <w:left w:val="nil"/>
              <w:bottom w:val="single" w:color="auto" w:sz="4" w:space="0"/>
              <w:right w:val="single" w:color="auto" w:sz="4" w:space="0"/>
            </w:tcBorders>
          </w:tcPr>
          <w:p w14:paraId="1EC1B2C4">
            <w:pPr>
              <w:spacing w:line="240" w:lineRule="auto"/>
              <w:rPr>
                <w:rFonts w:ascii="Times New Roman" w:hAnsi="Times New Roman" w:eastAsia="Times New Roman"/>
                <w:sz w:val="16"/>
                <w:szCs w:val="16"/>
              </w:rPr>
            </w:pPr>
            <w:r>
              <w:rPr>
                <w:rFonts w:ascii="Times New Roman" w:hAnsi="Times New Roman" w:eastAsia="Times New Roman"/>
                <w:sz w:val="16"/>
                <w:szCs w:val="16"/>
              </w:rPr>
              <w:t>Wall mounted washbasin as "Twyfords Entice 575" with one tap &amp; 32mm waste grit *basin mixer as "Europath Astra" with aerator &amp; pop -up waste.*32mm CP bottle trap with tail pipe, cap-nut &amp; wall flange as "Cobra" 340 &amp;C-342/1/2/3 or approved equivalent</w:t>
            </w:r>
          </w:p>
        </w:tc>
        <w:tc>
          <w:tcPr>
            <w:tcW w:w="960" w:type="dxa"/>
            <w:tcBorders>
              <w:top w:val="nil"/>
              <w:left w:val="nil"/>
              <w:bottom w:val="single" w:color="auto" w:sz="4" w:space="0"/>
              <w:right w:val="single" w:color="auto" w:sz="4" w:space="0"/>
            </w:tcBorders>
          </w:tcPr>
          <w:p w14:paraId="07F3C94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2E7D1B2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w:t>
            </w:r>
          </w:p>
        </w:tc>
        <w:tc>
          <w:tcPr>
            <w:tcW w:w="1900" w:type="dxa"/>
            <w:tcBorders>
              <w:top w:val="nil"/>
              <w:left w:val="nil"/>
              <w:bottom w:val="single" w:color="auto" w:sz="4" w:space="0"/>
              <w:right w:val="single" w:color="auto" w:sz="4" w:space="0"/>
            </w:tcBorders>
          </w:tcPr>
          <w:p w14:paraId="1087A520">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11,000.00 </w:t>
            </w:r>
          </w:p>
        </w:tc>
        <w:tc>
          <w:tcPr>
            <w:tcW w:w="1806" w:type="dxa"/>
            <w:tcBorders>
              <w:top w:val="nil"/>
              <w:left w:val="nil"/>
              <w:bottom w:val="single" w:color="auto" w:sz="4" w:space="0"/>
              <w:right w:val="single" w:color="auto" w:sz="8" w:space="0"/>
            </w:tcBorders>
          </w:tcPr>
          <w:p w14:paraId="3ED67D1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66,000.00 </w:t>
            </w:r>
          </w:p>
        </w:tc>
      </w:tr>
      <w:tr w14:paraId="774E7FC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7F1526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FF1EF2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F71D4C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CFC0BE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C60F58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EB7413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E63F43A">
        <w:tblPrEx>
          <w:tblCellMar>
            <w:top w:w="0" w:type="dxa"/>
            <w:left w:w="108" w:type="dxa"/>
            <w:bottom w:w="0" w:type="dxa"/>
            <w:right w:w="108" w:type="dxa"/>
          </w:tblCellMar>
        </w:tblPrEx>
        <w:trPr>
          <w:trHeight w:val="1275" w:hRule="atLeast"/>
        </w:trPr>
        <w:tc>
          <w:tcPr>
            <w:tcW w:w="576" w:type="dxa"/>
            <w:tcBorders>
              <w:top w:val="nil"/>
              <w:left w:val="single" w:color="auto" w:sz="8" w:space="0"/>
              <w:bottom w:val="single" w:color="auto" w:sz="4" w:space="0"/>
              <w:right w:val="single" w:color="auto" w:sz="4" w:space="0"/>
            </w:tcBorders>
          </w:tcPr>
          <w:p w14:paraId="1989AF9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11.16</w:t>
            </w:r>
          </w:p>
        </w:tc>
        <w:tc>
          <w:tcPr>
            <w:tcW w:w="3144" w:type="dxa"/>
            <w:tcBorders>
              <w:top w:val="nil"/>
              <w:left w:val="nil"/>
              <w:bottom w:val="single" w:color="auto" w:sz="4" w:space="0"/>
              <w:right w:val="single" w:color="auto" w:sz="4" w:space="0"/>
            </w:tcBorders>
          </w:tcPr>
          <w:p w14:paraId="522319A3">
            <w:pPr>
              <w:spacing w:line="240" w:lineRule="auto"/>
              <w:rPr>
                <w:rFonts w:ascii="Times New Roman" w:hAnsi="Times New Roman" w:eastAsia="Times New Roman"/>
                <w:sz w:val="16"/>
                <w:szCs w:val="16"/>
              </w:rPr>
            </w:pPr>
            <w:r>
              <w:rPr>
                <w:rFonts w:ascii="Times New Roman" w:hAnsi="Times New Roman" w:eastAsia="Times New Roman"/>
                <w:sz w:val="16"/>
                <w:szCs w:val="16"/>
              </w:rPr>
              <w:t>Shower unit complete with shower head and all taps and connections to water tank and connection to foul water drainage</w:t>
            </w:r>
          </w:p>
        </w:tc>
        <w:tc>
          <w:tcPr>
            <w:tcW w:w="960" w:type="dxa"/>
            <w:tcBorders>
              <w:top w:val="nil"/>
              <w:left w:val="nil"/>
              <w:bottom w:val="single" w:color="auto" w:sz="4" w:space="0"/>
              <w:right w:val="single" w:color="auto" w:sz="4" w:space="0"/>
            </w:tcBorders>
          </w:tcPr>
          <w:p w14:paraId="279B68D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1012E0A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3F40E52B">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8,500.00 </w:t>
            </w:r>
          </w:p>
        </w:tc>
        <w:tc>
          <w:tcPr>
            <w:tcW w:w="1806" w:type="dxa"/>
            <w:tcBorders>
              <w:top w:val="nil"/>
              <w:left w:val="nil"/>
              <w:bottom w:val="single" w:color="auto" w:sz="4" w:space="0"/>
              <w:right w:val="single" w:color="auto" w:sz="8" w:space="0"/>
            </w:tcBorders>
          </w:tcPr>
          <w:p w14:paraId="37A48A8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17,000.00 </w:t>
            </w:r>
          </w:p>
        </w:tc>
      </w:tr>
      <w:tr w14:paraId="1A5216B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B9D26F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6ECC00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38F8E6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556F8B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4910CC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 </w:t>
            </w:r>
          </w:p>
        </w:tc>
        <w:tc>
          <w:tcPr>
            <w:tcW w:w="1806" w:type="dxa"/>
            <w:tcBorders>
              <w:top w:val="nil"/>
              <w:left w:val="nil"/>
              <w:bottom w:val="single" w:color="auto" w:sz="4" w:space="0"/>
              <w:right w:val="single" w:color="auto" w:sz="8" w:space="0"/>
            </w:tcBorders>
          </w:tcPr>
          <w:p w14:paraId="5BA3146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42B4EF5C">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5A3E7B3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11.17</w:t>
            </w:r>
          </w:p>
        </w:tc>
        <w:tc>
          <w:tcPr>
            <w:tcW w:w="3144" w:type="dxa"/>
            <w:tcBorders>
              <w:top w:val="nil"/>
              <w:left w:val="nil"/>
              <w:bottom w:val="single" w:color="auto" w:sz="4" w:space="0"/>
              <w:right w:val="single" w:color="auto" w:sz="4" w:space="0"/>
            </w:tcBorders>
          </w:tcPr>
          <w:p w14:paraId="2A0AD0AB">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White vitreous china 1000mm x 1000mm basin for shower room</w:t>
            </w:r>
          </w:p>
        </w:tc>
        <w:tc>
          <w:tcPr>
            <w:tcW w:w="960" w:type="dxa"/>
            <w:tcBorders>
              <w:top w:val="nil"/>
              <w:left w:val="nil"/>
              <w:bottom w:val="single" w:color="auto" w:sz="4" w:space="0"/>
              <w:right w:val="single" w:color="auto" w:sz="4" w:space="0"/>
            </w:tcBorders>
          </w:tcPr>
          <w:p w14:paraId="7BF3ED1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57DC45D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386FBD31">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6,750.00 </w:t>
            </w:r>
          </w:p>
        </w:tc>
        <w:tc>
          <w:tcPr>
            <w:tcW w:w="1806" w:type="dxa"/>
            <w:tcBorders>
              <w:top w:val="nil"/>
              <w:left w:val="nil"/>
              <w:bottom w:val="single" w:color="auto" w:sz="4" w:space="0"/>
              <w:right w:val="single" w:color="auto" w:sz="8" w:space="0"/>
            </w:tcBorders>
          </w:tcPr>
          <w:p w14:paraId="31B9DF3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13,500.00 </w:t>
            </w:r>
          </w:p>
        </w:tc>
      </w:tr>
      <w:tr w14:paraId="318E673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24F86F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FF9BD2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ADB1C1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2D1C02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3C46BA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163ED2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5E2D33D">
        <w:tblPrEx>
          <w:tblCellMar>
            <w:top w:w="0" w:type="dxa"/>
            <w:left w:w="108" w:type="dxa"/>
            <w:bottom w:w="0" w:type="dxa"/>
            <w:right w:w="108" w:type="dxa"/>
          </w:tblCellMar>
        </w:tblPrEx>
        <w:trPr>
          <w:trHeight w:val="1275" w:hRule="atLeast"/>
        </w:trPr>
        <w:tc>
          <w:tcPr>
            <w:tcW w:w="576" w:type="dxa"/>
            <w:tcBorders>
              <w:top w:val="nil"/>
              <w:left w:val="single" w:color="auto" w:sz="8" w:space="0"/>
              <w:bottom w:val="single" w:color="auto" w:sz="4" w:space="0"/>
              <w:right w:val="single" w:color="auto" w:sz="4" w:space="0"/>
            </w:tcBorders>
          </w:tcPr>
          <w:p w14:paraId="3F1B2FC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11.18</w:t>
            </w:r>
          </w:p>
        </w:tc>
        <w:tc>
          <w:tcPr>
            <w:tcW w:w="3144" w:type="dxa"/>
            <w:tcBorders>
              <w:top w:val="nil"/>
              <w:left w:val="nil"/>
              <w:bottom w:val="single" w:color="auto" w:sz="4" w:space="0"/>
              <w:right w:val="single" w:color="auto" w:sz="4" w:space="0"/>
            </w:tcBorders>
          </w:tcPr>
          <w:p w14:paraId="1103D97B">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Mirror size 3000 x 600mm plugged and screwed to wall with chromium plated domed screws complete with 5mm thick foam back rest. </w:t>
            </w:r>
          </w:p>
        </w:tc>
        <w:tc>
          <w:tcPr>
            <w:tcW w:w="960" w:type="dxa"/>
            <w:tcBorders>
              <w:top w:val="nil"/>
              <w:left w:val="nil"/>
              <w:bottom w:val="single" w:color="auto" w:sz="4" w:space="0"/>
              <w:right w:val="single" w:color="auto" w:sz="4" w:space="0"/>
            </w:tcBorders>
          </w:tcPr>
          <w:p w14:paraId="5BBAF96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2EFEEDB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04F149CA">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3,000.00 </w:t>
            </w:r>
          </w:p>
        </w:tc>
        <w:tc>
          <w:tcPr>
            <w:tcW w:w="1806" w:type="dxa"/>
            <w:tcBorders>
              <w:top w:val="nil"/>
              <w:left w:val="nil"/>
              <w:bottom w:val="single" w:color="auto" w:sz="4" w:space="0"/>
              <w:right w:val="single" w:color="auto" w:sz="8" w:space="0"/>
            </w:tcBorders>
          </w:tcPr>
          <w:p w14:paraId="37A87D7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6,000.00 </w:t>
            </w:r>
          </w:p>
        </w:tc>
      </w:tr>
      <w:tr w14:paraId="0B7FE62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9CEB92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AA1FFE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3E25E8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E519B0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BB4BBD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F97540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1600A7C">
        <w:tblPrEx>
          <w:tblCellMar>
            <w:top w:w="0" w:type="dxa"/>
            <w:left w:w="108" w:type="dxa"/>
            <w:bottom w:w="0" w:type="dxa"/>
            <w:right w:w="108" w:type="dxa"/>
          </w:tblCellMar>
        </w:tblPrEx>
        <w:trPr>
          <w:trHeight w:val="4875" w:hRule="atLeast"/>
        </w:trPr>
        <w:tc>
          <w:tcPr>
            <w:tcW w:w="576" w:type="dxa"/>
            <w:tcBorders>
              <w:top w:val="nil"/>
              <w:left w:val="single" w:color="auto" w:sz="8" w:space="0"/>
              <w:bottom w:val="single" w:color="auto" w:sz="4" w:space="0"/>
              <w:right w:val="single" w:color="auto" w:sz="4" w:space="0"/>
            </w:tcBorders>
          </w:tcPr>
          <w:p w14:paraId="44ADADA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11.19</w:t>
            </w:r>
          </w:p>
        </w:tc>
        <w:tc>
          <w:tcPr>
            <w:tcW w:w="3144" w:type="dxa"/>
            <w:tcBorders>
              <w:top w:val="nil"/>
              <w:left w:val="nil"/>
              <w:bottom w:val="single" w:color="auto" w:sz="4" w:space="0"/>
              <w:right w:val="single" w:color="auto" w:sz="4" w:space="0"/>
            </w:tcBorders>
          </w:tcPr>
          <w:p w14:paraId="55EAC132">
            <w:pPr>
              <w:spacing w:line="240" w:lineRule="auto"/>
              <w:rPr>
                <w:rFonts w:ascii="Times New Roman" w:hAnsi="Times New Roman" w:eastAsia="Times New Roman"/>
                <w:sz w:val="16"/>
                <w:szCs w:val="16"/>
              </w:rPr>
            </w:pPr>
            <w:r>
              <w:rPr>
                <w:rFonts w:ascii="Times New Roman" w:hAnsi="Times New Roman" w:eastAsia="Times New Roman"/>
                <w:sz w:val="16"/>
                <w:szCs w:val="16"/>
              </w:rPr>
              <w:t>Drier shall be operated by infrared sensor which switches on when hands are placed are placed under the hot- air outlet. The machine switches off when the hands are withdrawn or after 40secs. It shall be capable of delivering 36Litres/sec of warm air at 50</w:t>
            </w:r>
            <w:r>
              <w:rPr>
                <w:rFonts w:ascii="Times New Roman" w:hAnsi="Times New Roman" w:eastAsia="Times New Roman"/>
                <w:sz w:val="16"/>
                <w:szCs w:val="16"/>
                <w:vertAlign w:val="superscript"/>
              </w:rPr>
              <w:t>o</w:t>
            </w:r>
            <w:r>
              <w:rPr>
                <w:rFonts w:ascii="Times New Roman" w:hAnsi="Times New Roman" w:eastAsia="Times New Roman"/>
                <w:sz w:val="16"/>
                <w:szCs w:val="16"/>
              </w:rPr>
              <w:t xml:space="preserve"> C above ambient temperature at an average speed of 17m/s and a relative drying time of 35 seconds with a power supply of 2.2Kw 240V,50Hz."Starmix" Automatic Hand Drier Model No.T50E.or approved equivalent</w:t>
            </w:r>
          </w:p>
        </w:tc>
        <w:tc>
          <w:tcPr>
            <w:tcW w:w="960" w:type="dxa"/>
            <w:tcBorders>
              <w:top w:val="nil"/>
              <w:left w:val="nil"/>
              <w:bottom w:val="single" w:color="auto" w:sz="4" w:space="0"/>
              <w:right w:val="single" w:color="auto" w:sz="4" w:space="0"/>
            </w:tcBorders>
          </w:tcPr>
          <w:p w14:paraId="2A026E7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3A55644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78F52B2B">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7,500.00 </w:t>
            </w:r>
          </w:p>
        </w:tc>
        <w:tc>
          <w:tcPr>
            <w:tcW w:w="1806" w:type="dxa"/>
            <w:tcBorders>
              <w:top w:val="nil"/>
              <w:left w:val="nil"/>
              <w:bottom w:val="single" w:color="auto" w:sz="4" w:space="0"/>
              <w:right w:val="single" w:color="auto" w:sz="8" w:space="0"/>
            </w:tcBorders>
          </w:tcPr>
          <w:p w14:paraId="70860AF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15,000.00 </w:t>
            </w:r>
          </w:p>
        </w:tc>
      </w:tr>
      <w:tr w14:paraId="1410D9E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C7F260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4E241A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6FE0B4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B03414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6EC8AF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 </w:t>
            </w:r>
          </w:p>
        </w:tc>
        <w:tc>
          <w:tcPr>
            <w:tcW w:w="1806" w:type="dxa"/>
            <w:tcBorders>
              <w:top w:val="nil"/>
              <w:left w:val="nil"/>
              <w:bottom w:val="single" w:color="auto" w:sz="4" w:space="0"/>
              <w:right w:val="single" w:color="auto" w:sz="8" w:space="0"/>
            </w:tcBorders>
          </w:tcPr>
          <w:p w14:paraId="7B9B68C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4E971E52">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6584C4A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11.20</w:t>
            </w:r>
          </w:p>
        </w:tc>
        <w:tc>
          <w:tcPr>
            <w:tcW w:w="3144" w:type="dxa"/>
            <w:tcBorders>
              <w:top w:val="nil"/>
              <w:left w:val="nil"/>
              <w:bottom w:val="single" w:color="auto" w:sz="4" w:space="0"/>
              <w:right w:val="single" w:color="auto" w:sz="4" w:space="0"/>
            </w:tcBorders>
          </w:tcPr>
          <w:p w14:paraId="3178B13A">
            <w:pPr>
              <w:spacing w:line="240" w:lineRule="auto"/>
              <w:rPr>
                <w:rFonts w:ascii="Times New Roman" w:hAnsi="Times New Roman" w:eastAsia="Times New Roman"/>
                <w:sz w:val="16"/>
                <w:szCs w:val="16"/>
              </w:rPr>
            </w:pPr>
            <w:r>
              <w:rPr>
                <w:rFonts w:ascii="Times New Roman" w:hAnsi="Times New Roman" w:eastAsia="Times New Roman"/>
                <w:sz w:val="16"/>
                <w:szCs w:val="16"/>
              </w:rPr>
              <w:t>Wall mounted collapsible 890mm x 560mm platform</w:t>
            </w:r>
          </w:p>
        </w:tc>
        <w:tc>
          <w:tcPr>
            <w:tcW w:w="960" w:type="dxa"/>
            <w:tcBorders>
              <w:top w:val="nil"/>
              <w:left w:val="nil"/>
              <w:bottom w:val="single" w:color="auto" w:sz="4" w:space="0"/>
              <w:right w:val="single" w:color="auto" w:sz="4" w:space="0"/>
            </w:tcBorders>
          </w:tcPr>
          <w:p w14:paraId="7E33DC4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26958FD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52BB1579">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10,000.00 </w:t>
            </w:r>
          </w:p>
        </w:tc>
        <w:tc>
          <w:tcPr>
            <w:tcW w:w="1806" w:type="dxa"/>
            <w:tcBorders>
              <w:top w:val="nil"/>
              <w:left w:val="nil"/>
              <w:bottom w:val="single" w:color="auto" w:sz="4" w:space="0"/>
              <w:right w:val="single" w:color="auto" w:sz="8" w:space="0"/>
            </w:tcBorders>
          </w:tcPr>
          <w:p w14:paraId="6E33A6E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20,000.00 </w:t>
            </w:r>
          </w:p>
        </w:tc>
      </w:tr>
      <w:tr w14:paraId="53CA6F95">
        <w:tblPrEx>
          <w:tblCellMar>
            <w:top w:w="0" w:type="dxa"/>
            <w:left w:w="108" w:type="dxa"/>
            <w:bottom w:w="0" w:type="dxa"/>
            <w:right w:w="108" w:type="dxa"/>
          </w:tblCellMar>
        </w:tblPrEx>
        <w:trPr>
          <w:trHeight w:val="300" w:hRule="atLeast"/>
        </w:trPr>
        <w:tc>
          <w:tcPr>
            <w:tcW w:w="576" w:type="dxa"/>
            <w:tcBorders>
              <w:top w:val="nil"/>
              <w:left w:val="single" w:color="auto" w:sz="8" w:space="0"/>
              <w:bottom w:val="nil"/>
              <w:right w:val="single" w:color="auto" w:sz="4" w:space="0"/>
            </w:tcBorders>
          </w:tcPr>
          <w:p w14:paraId="16731C5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913D6D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92561F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A2B866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2D1446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13971A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D5ED379">
        <w:tblPrEx>
          <w:tblCellMar>
            <w:top w:w="0" w:type="dxa"/>
            <w:left w:w="108" w:type="dxa"/>
            <w:bottom w:w="0" w:type="dxa"/>
            <w:right w:w="108" w:type="dxa"/>
          </w:tblCellMar>
        </w:tblPrEx>
        <w:trPr>
          <w:trHeight w:val="765" w:hRule="atLeast"/>
        </w:trPr>
        <w:tc>
          <w:tcPr>
            <w:tcW w:w="576" w:type="dxa"/>
            <w:tcBorders>
              <w:top w:val="single" w:color="auto" w:sz="4" w:space="0"/>
              <w:left w:val="single" w:color="auto" w:sz="8" w:space="0"/>
              <w:bottom w:val="single" w:color="auto" w:sz="4" w:space="0"/>
              <w:right w:val="single" w:color="auto" w:sz="4" w:space="0"/>
            </w:tcBorders>
          </w:tcPr>
          <w:p w14:paraId="1827856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11.21</w:t>
            </w:r>
          </w:p>
        </w:tc>
        <w:tc>
          <w:tcPr>
            <w:tcW w:w="3144" w:type="dxa"/>
            <w:tcBorders>
              <w:top w:val="nil"/>
              <w:left w:val="nil"/>
              <w:bottom w:val="single" w:color="auto" w:sz="4" w:space="0"/>
              <w:right w:val="single" w:color="auto" w:sz="4" w:space="0"/>
            </w:tcBorders>
          </w:tcPr>
          <w:p w14:paraId="3F351423">
            <w:pPr>
              <w:spacing w:line="240" w:lineRule="auto"/>
              <w:rPr>
                <w:rFonts w:ascii="Times New Roman" w:hAnsi="Times New Roman" w:eastAsia="Times New Roman"/>
                <w:sz w:val="16"/>
                <w:szCs w:val="16"/>
              </w:rPr>
            </w:pPr>
            <w:r>
              <w:rPr>
                <w:rFonts w:ascii="Times New Roman" w:hAnsi="Times New Roman" w:eastAsia="Times New Roman"/>
                <w:sz w:val="16"/>
                <w:szCs w:val="16"/>
              </w:rPr>
              <w:t>Wall mounted collapsible 890mm x 560mm baby changing room</w:t>
            </w:r>
          </w:p>
        </w:tc>
        <w:tc>
          <w:tcPr>
            <w:tcW w:w="960" w:type="dxa"/>
            <w:tcBorders>
              <w:top w:val="nil"/>
              <w:left w:val="nil"/>
              <w:bottom w:val="single" w:color="auto" w:sz="4" w:space="0"/>
              <w:right w:val="single" w:color="auto" w:sz="4" w:space="0"/>
            </w:tcBorders>
          </w:tcPr>
          <w:p w14:paraId="72524F2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5AB2FC6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1F8A0404">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10,000.00 </w:t>
            </w:r>
          </w:p>
        </w:tc>
        <w:tc>
          <w:tcPr>
            <w:tcW w:w="1806" w:type="dxa"/>
            <w:tcBorders>
              <w:top w:val="nil"/>
              <w:left w:val="nil"/>
              <w:bottom w:val="single" w:color="auto" w:sz="4" w:space="0"/>
              <w:right w:val="single" w:color="auto" w:sz="8" w:space="0"/>
            </w:tcBorders>
          </w:tcPr>
          <w:p w14:paraId="0CC8C5F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20,000.00 </w:t>
            </w:r>
          </w:p>
        </w:tc>
      </w:tr>
      <w:tr w14:paraId="150218DC">
        <w:tblPrEx>
          <w:tblCellMar>
            <w:top w:w="0" w:type="dxa"/>
            <w:left w:w="108" w:type="dxa"/>
            <w:bottom w:w="0" w:type="dxa"/>
            <w:right w:w="108" w:type="dxa"/>
          </w:tblCellMar>
        </w:tblPrEx>
        <w:trPr>
          <w:trHeight w:val="300" w:hRule="atLeast"/>
        </w:trPr>
        <w:tc>
          <w:tcPr>
            <w:tcW w:w="576" w:type="dxa"/>
            <w:tcBorders>
              <w:top w:val="nil"/>
              <w:left w:val="single" w:color="auto" w:sz="8" w:space="0"/>
              <w:bottom w:val="nil"/>
              <w:right w:val="single" w:color="auto" w:sz="4" w:space="0"/>
            </w:tcBorders>
          </w:tcPr>
          <w:p w14:paraId="09E3746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5F5EDD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6B1F0B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36CDC3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24949A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09B686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6D90D74">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nil"/>
              <w:right w:val="single" w:color="auto" w:sz="4" w:space="0"/>
            </w:tcBorders>
          </w:tcPr>
          <w:p w14:paraId="0C805BC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34CDEEB">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Foul/Waste drainage</w:t>
            </w:r>
          </w:p>
        </w:tc>
        <w:tc>
          <w:tcPr>
            <w:tcW w:w="960" w:type="dxa"/>
            <w:tcBorders>
              <w:top w:val="nil"/>
              <w:left w:val="nil"/>
              <w:bottom w:val="single" w:color="auto" w:sz="4" w:space="0"/>
              <w:right w:val="single" w:color="auto" w:sz="4" w:space="0"/>
            </w:tcBorders>
          </w:tcPr>
          <w:p w14:paraId="2710B51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700E7E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8CDAF56">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5CC39F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65B0B46">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1FE5E89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219C83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221F4F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BC06B0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FD77CB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8D8F5D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7DC64DC">
        <w:tblPrEx>
          <w:tblCellMar>
            <w:top w:w="0" w:type="dxa"/>
            <w:left w:w="108" w:type="dxa"/>
            <w:bottom w:w="0" w:type="dxa"/>
            <w:right w:w="108" w:type="dxa"/>
          </w:tblCellMar>
        </w:tblPrEx>
        <w:trPr>
          <w:trHeight w:val="1020" w:hRule="atLeast"/>
        </w:trPr>
        <w:tc>
          <w:tcPr>
            <w:tcW w:w="576" w:type="dxa"/>
            <w:tcBorders>
              <w:top w:val="nil"/>
              <w:left w:val="single" w:color="auto" w:sz="8" w:space="0"/>
              <w:bottom w:val="nil"/>
              <w:right w:val="single" w:color="auto" w:sz="4" w:space="0"/>
            </w:tcBorders>
          </w:tcPr>
          <w:p w14:paraId="3DCC46A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11.22</w:t>
            </w:r>
          </w:p>
        </w:tc>
        <w:tc>
          <w:tcPr>
            <w:tcW w:w="3144" w:type="dxa"/>
            <w:tcBorders>
              <w:top w:val="nil"/>
              <w:left w:val="nil"/>
              <w:bottom w:val="single" w:color="auto" w:sz="4" w:space="0"/>
              <w:right w:val="single" w:color="auto" w:sz="4" w:space="0"/>
            </w:tcBorders>
          </w:tcPr>
          <w:p w14:paraId="60C081A3">
            <w:pPr>
              <w:spacing w:line="240" w:lineRule="auto"/>
              <w:rPr>
                <w:rFonts w:ascii="Times New Roman" w:hAnsi="Times New Roman" w:eastAsia="Times New Roman"/>
                <w:sz w:val="16"/>
                <w:szCs w:val="16"/>
              </w:rPr>
            </w:pPr>
            <w:r>
              <w:rPr>
                <w:rFonts w:ascii="Times New Roman" w:hAnsi="Times New Roman" w:eastAsia="Times New Roman"/>
                <w:sz w:val="16"/>
                <w:szCs w:val="16"/>
              </w:rPr>
              <w:t>Excavate pipe trench in ordinary ground for 160mm diameter pipe between n.e 2m</w:t>
            </w:r>
          </w:p>
        </w:tc>
        <w:tc>
          <w:tcPr>
            <w:tcW w:w="960" w:type="dxa"/>
            <w:tcBorders>
              <w:top w:val="nil"/>
              <w:left w:val="nil"/>
              <w:bottom w:val="single" w:color="auto" w:sz="4" w:space="0"/>
              <w:right w:val="single" w:color="auto" w:sz="4" w:space="0"/>
            </w:tcBorders>
          </w:tcPr>
          <w:p w14:paraId="543A30C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576EA8C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25</w:t>
            </w:r>
          </w:p>
        </w:tc>
        <w:tc>
          <w:tcPr>
            <w:tcW w:w="1900" w:type="dxa"/>
            <w:tcBorders>
              <w:top w:val="nil"/>
              <w:left w:val="nil"/>
              <w:bottom w:val="single" w:color="auto" w:sz="4" w:space="0"/>
              <w:right w:val="single" w:color="auto" w:sz="4" w:space="0"/>
            </w:tcBorders>
          </w:tcPr>
          <w:p w14:paraId="4B4D8347">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400.00 </w:t>
            </w:r>
          </w:p>
        </w:tc>
        <w:tc>
          <w:tcPr>
            <w:tcW w:w="1806" w:type="dxa"/>
            <w:tcBorders>
              <w:top w:val="nil"/>
              <w:left w:val="nil"/>
              <w:bottom w:val="single" w:color="auto" w:sz="4" w:space="0"/>
              <w:right w:val="single" w:color="auto" w:sz="8" w:space="0"/>
            </w:tcBorders>
          </w:tcPr>
          <w:p w14:paraId="77B2225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10,000.00 </w:t>
            </w:r>
          </w:p>
        </w:tc>
      </w:tr>
      <w:tr w14:paraId="26417377">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2D160C2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1DC67B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F84B35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0E22B1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F9ADFB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384BC8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46262E1">
        <w:tblPrEx>
          <w:tblCellMar>
            <w:top w:w="0" w:type="dxa"/>
            <w:left w:w="108" w:type="dxa"/>
            <w:bottom w:w="0" w:type="dxa"/>
            <w:right w:w="108" w:type="dxa"/>
          </w:tblCellMar>
        </w:tblPrEx>
        <w:trPr>
          <w:trHeight w:val="1275" w:hRule="atLeast"/>
        </w:trPr>
        <w:tc>
          <w:tcPr>
            <w:tcW w:w="576" w:type="dxa"/>
            <w:tcBorders>
              <w:top w:val="nil"/>
              <w:left w:val="single" w:color="auto" w:sz="8" w:space="0"/>
              <w:bottom w:val="nil"/>
              <w:right w:val="single" w:color="auto" w:sz="4" w:space="0"/>
            </w:tcBorders>
          </w:tcPr>
          <w:p w14:paraId="37F76FB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11.23</w:t>
            </w:r>
          </w:p>
        </w:tc>
        <w:tc>
          <w:tcPr>
            <w:tcW w:w="3144" w:type="dxa"/>
            <w:tcBorders>
              <w:top w:val="nil"/>
              <w:left w:val="nil"/>
              <w:bottom w:val="single" w:color="auto" w:sz="4" w:space="0"/>
              <w:right w:val="single" w:color="auto" w:sz="4" w:space="0"/>
            </w:tcBorders>
          </w:tcPr>
          <w:p w14:paraId="2A850D35">
            <w:pPr>
              <w:spacing w:line="240" w:lineRule="auto"/>
              <w:rPr>
                <w:rFonts w:ascii="Times New Roman" w:hAnsi="Times New Roman" w:eastAsia="Times New Roman"/>
                <w:sz w:val="16"/>
                <w:szCs w:val="16"/>
              </w:rPr>
            </w:pPr>
            <w:r>
              <w:rPr>
                <w:rFonts w:ascii="Times New Roman" w:hAnsi="Times New Roman" w:eastAsia="Times New Roman"/>
                <w:sz w:val="16"/>
                <w:szCs w:val="16"/>
              </w:rPr>
              <w:t>Provide lay and joint uPVC pipes golden brown Class 41 160mm diameter. Include for all fittings and connections to inspection chambers.</w:t>
            </w:r>
          </w:p>
        </w:tc>
        <w:tc>
          <w:tcPr>
            <w:tcW w:w="960" w:type="dxa"/>
            <w:tcBorders>
              <w:top w:val="nil"/>
              <w:left w:val="nil"/>
              <w:bottom w:val="single" w:color="auto" w:sz="4" w:space="0"/>
              <w:right w:val="single" w:color="auto" w:sz="4" w:space="0"/>
            </w:tcBorders>
          </w:tcPr>
          <w:p w14:paraId="4D58624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52BFF8B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25</w:t>
            </w:r>
          </w:p>
        </w:tc>
        <w:tc>
          <w:tcPr>
            <w:tcW w:w="1900" w:type="dxa"/>
            <w:tcBorders>
              <w:top w:val="nil"/>
              <w:left w:val="nil"/>
              <w:bottom w:val="single" w:color="auto" w:sz="4" w:space="0"/>
              <w:right w:val="single" w:color="auto" w:sz="4" w:space="0"/>
            </w:tcBorders>
          </w:tcPr>
          <w:p w14:paraId="29B56F08">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450.00 </w:t>
            </w:r>
          </w:p>
        </w:tc>
        <w:tc>
          <w:tcPr>
            <w:tcW w:w="1806" w:type="dxa"/>
            <w:tcBorders>
              <w:top w:val="nil"/>
              <w:left w:val="nil"/>
              <w:bottom w:val="single" w:color="auto" w:sz="4" w:space="0"/>
              <w:right w:val="single" w:color="auto" w:sz="8" w:space="0"/>
            </w:tcBorders>
          </w:tcPr>
          <w:p w14:paraId="3071449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11,250.00 </w:t>
            </w:r>
          </w:p>
        </w:tc>
      </w:tr>
      <w:tr w14:paraId="052B30E3">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4D78006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FB4E8E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A58C70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AD940B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B93D9F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21E72E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5C8DF32">
        <w:tblPrEx>
          <w:tblCellMar>
            <w:top w:w="0" w:type="dxa"/>
            <w:left w:w="108" w:type="dxa"/>
            <w:bottom w:w="0" w:type="dxa"/>
            <w:right w:w="108" w:type="dxa"/>
          </w:tblCellMar>
        </w:tblPrEx>
        <w:trPr>
          <w:trHeight w:val="765" w:hRule="atLeast"/>
        </w:trPr>
        <w:tc>
          <w:tcPr>
            <w:tcW w:w="576" w:type="dxa"/>
            <w:tcBorders>
              <w:top w:val="nil"/>
              <w:left w:val="single" w:color="auto" w:sz="8" w:space="0"/>
              <w:bottom w:val="nil"/>
              <w:right w:val="single" w:color="auto" w:sz="4" w:space="0"/>
            </w:tcBorders>
          </w:tcPr>
          <w:p w14:paraId="64FF189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11.24</w:t>
            </w:r>
          </w:p>
        </w:tc>
        <w:tc>
          <w:tcPr>
            <w:tcW w:w="3144" w:type="dxa"/>
            <w:tcBorders>
              <w:top w:val="nil"/>
              <w:left w:val="nil"/>
              <w:bottom w:val="single" w:color="auto" w:sz="4" w:space="0"/>
              <w:right w:val="single" w:color="auto" w:sz="4" w:space="0"/>
            </w:tcBorders>
          </w:tcPr>
          <w:p w14:paraId="295ED4BC">
            <w:pPr>
              <w:spacing w:line="240" w:lineRule="auto"/>
              <w:rPr>
                <w:rFonts w:ascii="Times New Roman" w:hAnsi="Times New Roman" w:eastAsia="Times New Roman"/>
                <w:sz w:val="16"/>
                <w:szCs w:val="16"/>
              </w:rPr>
            </w:pPr>
            <w:r>
              <w:rPr>
                <w:rFonts w:ascii="Times New Roman" w:hAnsi="Times New Roman" w:eastAsia="Times New Roman"/>
                <w:sz w:val="16"/>
                <w:szCs w:val="16"/>
              </w:rPr>
              <w:t>Allow a Provisional Sum of Kshs. 100,000 for plumbing works</w:t>
            </w:r>
          </w:p>
        </w:tc>
        <w:tc>
          <w:tcPr>
            <w:tcW w:w="960" w:type="dxa"/>
            <w:tcBorders>
              <w:top w:val="nil"/>
              <w:left w:val="nil"/>
              <w:bottom w:val="single" w:color="auto" w:sz="4" w:space="0"/>
              <w:right w:val="single" w:color="auto" w:sz="4" w:space="0"/>
            </w:tcBorders>
          </w:tcPr>
          <w:p w14:paraId="36140A8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Item</w:t>
            </w:r>
          </w:p>
        </w:tc>
        <w:tc>
          <w:tcPr>
            <w:tcW w:w="960" w:type="dxa"/>
            <w:tcBorders>
              <w:top w:val="nil"/>
              <w:left w:val="nil"/>
              <w:bottom w:val="single" w:color="auto" w:sz="4" w:space="0"/>
              <w:right w:val="single" w:color="auto" w:sz="4" w:space="0"/>
            </w:tcBorders>
          </w:tcPr>
          <w:p w14:paraId="39E411B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P.S</w:t>
            </w:r>
          </w:p>
        </w:tc>
        <w:tc>
          <w:tcPr>
            <w:tcW w:w="1900" w:type="dxa"/>
            <w:tcBorders>
              <w:top w:val="nil"/>
              <w:left w:val="nil"/>
              <w:bottom w:val="single" w:color="auto" w:sz="4" w:space="0"/>
              <w:right w:val="single" w:color="auto" w:sz="4" w:space="0"/>
            </w:tcBorders>
          </w:tcPr>
          <w:p w14:paraId="7D896ACE">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100,000.00 </w:t>
            </w:r>
          </w:p>
        </w:tc>
        <w:tc>
          <w:tcPr>
            <w:tcW w:w="1806" w:type="dxa"/>
            <w:tcBorders>
              <w:top w:val="nil"/>
              <w:left w:val="nil"/>
              <w:bottom w:val="single" w:color="auto" w:sz="4" w:space="0"/>
              <w:right w:val="single" w:color="auto" w:sz="8" w:space="0"/>
            </w:tcBorders>
          </w:tcPr>
          <w:p w14:paraId="1BD3574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100,000.00 </w:t>
            </w:r>
          </w:p>
        </w:tc>
      </w:tr>
      <w:tr w14:paraId="263836EC">
        <w:tblPrEx>
          <w:tblCellMar>
            <w:top w:w="0" w:type="dxa"/>
            <w:left w:w="108" w:type="dxa"/>
            <w:bottom w:w="0" w:type="dxa"/>
            <w:right w:w="108" w:type="dxa"/>
          </w:tblCellMar>
        </w:tblPrEx>
        <w:trPr>
          <w:trHeight w:val="300" w:hRule="atLeast"/>
        </w:trPr>
        <w:tc>
          <w:tcPr>
            <w:tcW w:w="576" w:type="dxa"/>
            <w:tcBorders>
              <w:top w:val="nil"/>
              <w:left w:val="single" w:color="auto" w:sz="8" w:space="0"/>
              <w:bottom w:val="nil"/>
              <w:right w:val="nil"/>
            </w:tcBorders>
          </w:tcPr>
          <w:p w14:paraId="562739C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nil"/>
              <w:right w:val="nil"/>
            </w:tcBorders>
          </w:tcPr>
          <w:p w14:paraId="39E1A054">
            <w:pPr>
              <w:spacing w:line="240" w:lineRule="auto"/>
              <w:jc w:val="center"/>
              <w:rPr>
                <w:rFonts w:ascii="Times New Roman" w:hAnsi="Times New Roman" w:eastAsia="Times New Roman"/>
                <w:sz w:val="16"/>
                <w:szCs w:val="16"/>
              </w:rPr>
            </w:pPr>
          </w:p>
        </w:tc>
        <w:tc>
          <w:tcPr>
            <w:tcW w:w="960" w:type="dxa"/>
            <w:tcBorders>
              <w:top w:val="nil"/>
              <w:left w:val="nil"/>
              <w:bottom w:val="nil"/>
              <w:right w:val="nil"/>
            </w:tcBorders>
          </w:tcPr>
          <w:p w14:paraId="1FD08019">
            <w:pPr>
              <w:spacing w:line="240" w:lineRule="auto"/>
              <w:jc w:val="center"/>
              <w:rPr>
                <w:rFonts w:ascii="Times New Roman" w:hAnsi="Times New Roman" w:eastAsia="Times New Roman"/>
                <w:sz w:val="16"/>
                <w:szCs w:val="16"/>
              </w:rPr>
            </w:pPr>
          </w:p>
        </w:tc>
        <w:tc>
          <w:tcPr>
            <w:tcW w:w="960" w:type="dxa"/>
            <w:tcBorders>
              <w:top w:val="nil"/>
              <w:left w:val="nil"/>
              <w:bottom w:val="nil"/>
              <w:right w:val="nil"/>
            </w:tcBorders>
          </w:tcPr>
          <w:p w14:paraId="1CCF00CC">
            <w:pPr>
              <w:spacing w:line="240" w:lineRule="auto"/>
              <w:jc w:val="center"/>
              <w:rPr>
                <w:rFonts w:ascii="Times New Roman" w:hAnsi="Times New Roman" w:eastAsia="Times New Roman"/>
                <w:sz w:val="16"/>
                <w:szCs w:val="16"/>
              </w:rPr>
            </w:pPr>
          </w:p>
        </w:tc>
        <w:tc>
          <w:tcPr>
            <w:tcW w:w="1900" w:type="dxa"/>
            <w:tcBorders>
              <w:top w:val="nil"/>
              <w:left w:val="nil"/>
              <w:bottom w:val="nil"/>
              <w:right w:val="single" w:color="auto" w:sz="4" w:space="0"/>
            </w:tcBorders>
          </w:tcPr>
          <w:p w14:paraId="4C5E510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958296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55C2D9E">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nil"/>
              <w:right w:val="single" w:color="auto" w:sz="4" w:space="0"/>
            </w:tcBorders>
          </w:tcPr>
          <w:p w14:paraId="559FB68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single" w:color="auto" w:sz="4" w:space="0"/>
              <w:left w:val="nil"/>
              <w:bottom w:val="single" w:color="auto" w:sz="4" w:space="0"/>
              <w:right w:val="single" w:color="auto" w:sz="4" w:space="0"/>
            </w:tcBorders>
          </w:tcPr>
          <w:p w14:paraId="6B2B2F9D">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Inspection Chambers</w:t>
            </w:r>
          </w:p>
        </w:tc>
        <w:tc>
          <w:tcPr>
            <w:tcW w:w="960" w:type="dxa"/>
            <w:tcBorders>
              <w:top w:val="single" w:color="auto" w:sz="4" w:space="0"/>
              <w:left w:val="nil"/>
              <w:bottom w:val="single" w:color="auto" w:sz="4" w:space="0"/>
              <w:right w:val="single" w:color="auto" w:sz="4" w:space="0"/>
            </w:tcBorders>
          </w:tcPr>
          <w:p w14:paraId="72CE858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single" w:color="auto" w:sz="4" w:space="0"/>
              <w:left w:val="nil"/>
              <w:bottom w:val="single" w:color="auto" w:sz="4" w:space="0"/>
              <w:right w:val="single" w:color="auto" w:sz="4" w:space="0"/>
            </w:tcBorders>
          </w:tcPr>
          <w:p w14:paraId="77E68B9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single" w:color="auto" w:sz="4" w:space="0"/>
              <w:left w:val="nil"/>
              <w:bottom w:val="single" w:color="auto" w:sz="4" w:space="0"/>
              <w:right w:val="single" w:color="auto" w:sz="4" w:space="0"/>
            </w:tcBorders>
          </w:tcPr>
          <w:p w14:paraId="628665E4">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8FFB8A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41B34E1">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1C4EFAC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CF6E80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731131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0B52C9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17BBC2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2ECDE5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6261EA6">
        <w:tblPrEx>
          <w:tblCellMar>
            <w:top w:w="0" w:type="dxa"/>
            <w:left w:w="108" w:type="dxa"/>
            <w:bottom w:w="0" w:type="dxa"/>
            <w:right w:w="108" w:type="dxa"/>
          </w:tblCellMar>
        </w:tblPrEx>
        <w:trPr>
          <w:trHeight w:val="2805" w:hRule="atLeast"/>
        </w:trPr>
        <w:tc>
          <w:tcPr>
            <w:tcW w:w="576" w:type="dxa"/>
            <w:tcBorders>
              <w:top w:val="nil"/>
              <w:left w:val="single" w:color="auto" w:sz="8" w:space="0"/>
              <w:bottom w:val="nil"/>
              <w:right w:val="single" w:color="auto" w:sz="4" w:space="0"/>
            </w:tcBorders>
          </w:tcPr>
          <w:p w14:paraId="32C88FB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11.25</w:t>
            </w:r>
          </w:p>
        </w:tc>
        <w:tc>
          <w:tcPr>
            <w:tcW w:w="3144" w:type="dxa"/>
            <w:tcBorders>
              <w:top w:val="nil"/>
              <w:left w:val="nil"/>
              <w:bottom w:val="single" w:color="auto" w:sz="4" w:space="0"/>
              <w:right w:val="single" w:color="auto" w:sz="4" w:space="0"/>
            </w:tcBorders>
          </w:tcPr>
          <w:p w14:paraId="533D2C67">
            <w:pPr>
              <w:spacing w:line="240" w:lineRule="auto"/>
              <w:rPr>
                <w:rFonts w:ascii="Times New Roman" w:hAnsi="Times New Roman" w:eastAsia="Times New Roman"/>
                <w:sz w:val="16"/>
                <w:szCs w:val="16"/>
              </w:rPr>
            </w:pPr>
            <w:r>
              <w:rPr>
                <w:rFonts w:ascii="Times New Roman" w:hAnsi="Times New Roman" w:eastAsia="Times New Roman"/>
                <w:sz w:val="16"/>
                <w:szCs w:val="16"/>
              </w:rPr>
              <w:t>Excavate for, provide all matterials,special shuttering e.t.c and construct 600 x 450mm internal dimentions in situ concrete inspection chambers on sewers diameter 160mm.Include for building in pipes,forming benching to falls,medium duty fibre reinforced frame and cover, depth n.e. 1.5m.</w:t>
            </w:r>
          </w:p>
        </w:tc>
        <w:tc>
          <w:tcPr>
            <w:tcW w:w="960" w:type="dxa"/>
            <w:tcBorders>
              <w:top w:val="nil"/>
              <w:left w:val="nil"/>
              <w:bottom w:val="single" w:color="auto" w:sz="4" w:space="0"/>
              <w:right w:val="single" w:color="auto" w:sz="4" w:space="0"/>
            </w:tcBorders>
          </w:tcPr>
          <w:p w14:paraId="6CDD409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7F048EA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w:t>
            </w:r>
          </w:p>
        </w:tc>
        <w:tc>
          <w:tcPr>
            <w:tcW w:w="1900" w:type="dxa"/>
            <w:tcBorders>
              <w:top w:val="nil"/>
              <w:left w:val="nil"/>
              <w:bottom w:val="single" w:color="auto" w:sz="4" w:space="0"/>
              <w:right w:val="single" w:color="auto" w:sz="4" w:space="0"/>
            </w:tcBorders>
          </w:tcPr>
          <w:p w14:paraId="6CE20278">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5,000.00 </w:t>
            </w:r>
          </w:p>
        </w:tc>
        <w:tc>
          <w:tcPr>
            <w:tcW w:w="1806" w:type="dxa"/>
            <w:tcBorders>
              <w:top w:val="nil"/>
              <w:left w:val="nil"/>
              <w:bottom w:val="single" w:color="auto" w:sz="4" w:space="0"/>
              <w:right w:val="single" w:color="auto" w:sz="8" w:space="0"/>
            </w:tcBorders>
          </w:tcPr>
          <w:p w14:paraId="3585B96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30,000.00 </w:t>
            </w:r>
          </w:p>
        </w:tc>
      </w:tr>
      <w:tr w14:paraId="2CECFCF1">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5F72A0A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B8A9C3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F9780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21C75B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8DDD37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107379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D7A516A">
        <w:tblPrEx>
          <w:tblCellMar>
            <w:top w:w="0" w:type="dxa"/>
            <w:left w:w="108" w:type="dxa"/>
            <w:bottom w:w="0" w:type="dxa"/>
            <w:right w:w="108" w:type="dxa"/>
          </w:tblCellMar>
        </w:tblPrEx>
        <w:trPr>
          <w:trHeight w:val="300" w:hRule="atLeast"/>
        </w:trPr>
        <w:tc>
          <w:tcPr>
            <w:tcW w:w="576" w:type="dxa"/>
            <w:tcBorders>
              <w:top w:val="nil"/>
              <w:left w:val="single" w:color="auto" w:sz="8" w:space="0"/>
              <w:bottom w:val="nil"/>
              <w:right w:val="single" w:color="auto" w:sz="4" w:space="0"/>
            </w:tcBorders>
          </w:tcPr>
          <w:p w14:paraId="1AB075E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EA7FC46">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Septic Tank</w:t>
            </w:r>
          </w:p>
        </w:tc>
        <w:tc>
          <w:tcPr>
            <w:tcW w:w="960" w:type="dxa"/>
            <w:tcBorders>
              <w:top w:val="nil"/>
              <w:left w:val="nil"/>
              <w:bottom w:val="single" w:color="auto" w:sz="4" w:space="0"/>
              <w:right w:val="single" w:color="auto" w:sz="4" w:space="0"/>
            </w:tcBorders>
          </w:tcPr>
          <w:p w14:paraId="0D86161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C09882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4B840CA">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B9A675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6E5E07C">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789211F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6C8355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9B3AB0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CB492D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671380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07EADF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D95350F">
        <w:tblPrEx>
          <w:tblCellMar>
            <w:top w:w="0" w:type="dxa"/>
            <w:left w:w="108" w:type="dxa"/>
            <w:bottom w:w="0" w:type="dxa"/>
            <w:right w:w="108" w:type="dxa"/>
          </w:tblCellMar>
        </w:tblPrEx>
        <w:trPr>
          <w:trHeight w:val="2040" w:hRule="atLeast"/>
        </w:trPr>
        <w:tc>
          <w:tcPr>
            <w:tcW w:w="576" w:type="dxa"/>
            <w:tcBorders>
              <w:top w:val="nil"/>
              <w:left w:val="single" w:color="auto" w:sz="8" w:space="0"/>
              <w:bottom w:val="nil"/>
              <w:right w:val="single" w:color="auto" w:sz="4" w:space="0"/>
            </w:tcBorders>
          </w:tcPr>
          <w:p w14:paraId="5BE1CE8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11.26</w:t>
            </w:r>
          </w:p>
        </w:tc>
        <w:tc>
          <w:tcPr>
            <w:tcW w:w="3144" w:type="dxa"/>
            <w:tcBorders>
              <w:top w:val="nil"/>
              <w:left w:val="nil"/>
              <w:bottom w:val="single" w:color="auto" w:sz="4" w:space="0"/>
              <w:right w:val="single" w:color="auto" w:sz="4" w:space="0"/>
            </w:tcBorders>
          </w:tcPr>
          <w:p w14:paraId="00BC4CCA">
            <w:pPr>
              <w:spacing w:line="240" w:lineRule="auto"/>
              <w:rPr>
                <w:rFonts w:ascii="Times New Roman" w:hAnsi="Times New Roman" w:eastAsia="Times New Roman"/>
                <w:sz w:val="16"/>
                <w:szCs w:val="16"/>
              </w:rPr>
            </w:pPr>
            <w:r>
              <w:rPr>
                <w:rFonts w:ascii="Times New Roman" w:hAnsi="Times New Roman" w:eastAsia="Times New Roman"/>
                <w:sz w:val="16"/>
                <w:szCs w:val="16"/>
              </w:rPr>
              <w:t>Provide all materials and construct a 15.9m³ single chamber Septic Tank including manholes, covers, pipework, radial drains, connections etc as per details shown on Standard Drawings.</w:t>
            </w:r>
          </w:p>
        </w:tc>
        <w:tc>
          <w:tcPr>
            <w:tcW w:w="960" w:type="dxa"/>
            <w:tcBorders>
              <w:top w:val="nil"/>
              <w:left w:val="nil"/>
              <w:bottom w:val="single" w:color="auto" w:sz="4" w:space="0"/>
              <w:right w:val="single" w:color="auto" w:sz="4" w:space="0"/>
            </w:tcBorders>
          </w:tcPr>
          <w:p w14:paraId="52DA82A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23D30D0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w:t>
            </w:r>
          </w:p>
        </w:tc>
        <w:tc>
          <w:tcPr>
            <w:tcW w:w="1900" w:type="dxa"/>
            <w:tcBorders>
              <w:top w:val="nil"/>
              <w:left w:val="nil"/>
              <w:bottom w:val="single" w:color="auto" w:sz="4" w:space="0"/>
              <w:right w:val="single" w:color="auto" w:sz="4" w:space="0"/>
            </w:tcBorders>
          </w:tcPr>
          <w:p w14:paraId="72A761A3">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1,600,000.00 </w:t>
            </w:r>
          </w:p>
        </w:tc>
        <w:tc>
          <w:tcPr>
            <w:tcW w:w="1806" w:type="dxa"/>
            <w:tcBorders>
              <w:top w:val="nil"/>
              <w:left w:val="nil"/>
              <w:bottom w:val="single" w:color="auto" w:sz="4" w:space="0"/>
              <w:right w:val="single" w:color="auto" w:sz="8" w:space="0"/>
            </w:tcBorders>
          </w:tcPr>
          <w:p w14:paraId="1A59AED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1,600,000.00 </w:t>
            </w:r>
          </w:p>
        </w:tc>
      </w:tr>
      <w:tr w14:paraId="55907A74">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nil"/>
              <w:right w:val="single" w:color="auto" w:sz="4" w:space="0"/>
            </w:tcBorders>
          </w:tcPr>
          <w:p w14:paraId="6021812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0657797">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FA97FF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49F3C1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BD01A69">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9921DD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0E3086E1">
        <w:tblPrEx>
          <w:tblCellMar>
            <w:top w:w="0" w:type="dxa"/>
            <w:left w:w="108" w:type="dxa"/>
            <w:bottom w:w="0" w:type="dxa"/>
            <w:right w:w="108" w:type="dxa"/>
          </w:tblCellMar>
        </w:tblPrEx>
        <w:trPr>
          <w:trHeight w:val="510" w:hRule="atLeast"/>
        </w:trPr>
        <w:tc>
          <w:tcPr>
            <w:tcW w:w="576" w:type="dxa"/>
            <w:tcBorders>
              <w:top w:val="single" w:color="auto" w:sz="4" w:space="0"/>
              <w:left w:val="single" w:color="auto" w:sz="8" w:space="0"/>
              <w:bottom w:val="single" w:color="auto" w:sz="4" w:space="0"/>
              <w:right w:val="single" w:color="auto" w:sz="4" w:space="0"/>
            </w:tcBorders>
          </w:tcPr>
          <w:p w14:paraId="22B6A5CF">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5403BEBB">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PLUMBING AND DRAINAGE</w:t>
            </w:r>
          </w:p>
        </w:tc>
        <w:tc>
          <w:tcPr>
            <w:tcW w:w="960" w:type="dxa"/>
            <w:tcBorders>
              <w:top w:val="nil"/>
              <w:left w:val="nil"/>
              <w:bottom w:val="single" w:color="auto" w:sz="4" w:space="0"/>
              <w:right w:val="single" w:color="auto" w:sz="4" w:space="0"/>
            </w:tcBorders>
          </w:tcPr>
          <w:p w14:paraId="2EB8DF2E">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0556B9FC">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6B29BCF4">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3B42D6A0">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2,141,850.00 </w:t>
            </w:r>
          </w:p>
        </w:tc>
      </w:tr>
      <w:tr w14:paraId="2D083E6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6B3158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F4E4AF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99FAF7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E1C379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B8E366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9CA32B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121337E">
        <w:tblPrEx>
          <w:tblCellMar>
            <w:top w:w="0" w:type="dxa"/>
            <w:left w:w="108" w:type="dxa"/>
            <w:bottom w:w="0" w:type="dxa"/>
            <w:right w:w="108" w:type="dxa"/>
          </w:tblCellMar>
        </w:tblPrEx>
        <w:trPr>
          <w:trHeight w:val="300" w:hRule="atLeast"/>
        </w:trPr>
        <w:tc>
          <w:tcPr>
            <w:tcW w:w="576" w:type="dxa"/>
            <w:tcBorders>
              <w:top w:val="nil"/>
              <w:left w:val="single" w:color="auto" w:sz="8" w:space="0"/>
              <w:bottom w:val="nil"/>
              <w:right w:val="single" w:color="auto" w:sz="4" w:space="0"/>
            </w:tcBorders>
          </w:tcPr>
          <w:p w14:paraId="304F6198">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12</w:t>
            </w:r>
          </w:p>
        </w:tc>
        <w:tc>
          <w:tcPr>
            <w:tcW w:w="3144" w:type="dxa"/>
            <w:tcBorders>
              <w:top w:val="nil"/>
              <w:left w:val="nil"/>
              <w:bottom w:val="single" w:color="auto" w:sz="4" w:space="0"/>
              <w:right w:val="single" w:color="auto" w:sz="4" w:space="0"/>
            </w:tcBorders>
          </w:tcPr>
          <w:p w14:paraId="705FCC13">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WATER SUPPLY</w:t>
            </w:r>
          </w:p>
        </w:tc>
        <w:tc>
          <w:tcPr>
            <w:tcW w:w="960" w:type="dxa"/>
            <w:tcBorders>
              <w:top w:val="nil"/>
              <w:left w:val="nil"/>
              <w:bottom w:val="single" w:color="auto" w:sz="4" w:space="0"/>
              <w:right w:val="single" w:color="auto" w:sz="4" w:space="0"/>
            </w:tcBorders>
          </w:tcPr>
          <w:p w14:paraId="2624D6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E38B40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05FD8F9">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8138D5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E277EC6">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61C145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E870E4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E3CD36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E87D78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C65766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B7CCF4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4D55897">
        <w:tblPrEx>
          <w:tblCellMar>
            <w:top w:w="0" w:type="dxa"/>
            <w:left w:w="108" w:type="dxa"/>
            <w:bottom w:w="0" w:type="dxa"/>
            <w:right w:w="108" w:type="dxa"/>
          </w:tblCellMar>
        </w:tblPrEx>
        <w:trPr>
          <w:trHeight w:val="1275" w:hRule="atLeast"/>
        </w:trPr>
        <w:tc>
          <w:tcPr>
            <w:tcW w:w="576" w:type="dxa"/>
            <w:tcBorders>
              <w:top w:val="nil"/>
              <w:left w:val="single" w:color="auto" w:sz="8" w:space="0"/>
              <w:bottom w:val="nil"/>
              <w:right w:val="single" w:color="auto" w:sz="4" w:space="0"/>
            </w:tcBorders>
          </w:tcPr>
          <w:p w14:paraId="5C37586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12.1</w:t>
            </w:r>
          </w:p>
        </w:tc>
        <w:tc>
          <w:tcPr>
            <w:tcW w:w="3144" w:type="dxa"/>
            <w:tcBorders>
              <w:top w:val="nil"/>
              <w:left w:val="nil"/>
              <w:bottom w:val="single" w:color="auto" w:sz="4" w:space="0"/>
              <w:right w:val="single" w:color="auto" w:sz="4" w:space="0"/>
            </w:tcBorders>
          </w:tcPr>
          <w:p w14:paraId="52486062">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Allow a Provisional Sum of Kshs. 30,000 for Connection of Ablution Block to existing water supply sytem including provision of meters etc. </w:t>
            </w:r>
          </w:p>
        </w:tc>
        <w:tc>
          <w:tcPr>
            <w:tcW w:w="960" w:type="dxa"/>
            <w:tcBorders>
              <w:top w:val="nil"/>
              <w:left w:val="nil"/>
              <w:bottom w:val="single" w:color="auto" w:sz="4" w:space="0"/>
              <w:right w:val="single" w:color="auto" w:sz="4" w:space="0"/>
            </w:tcBorders>
          </w:tcPr>
          <w:p w14:paraId="3DA6631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Item</w:t>
            </w:r>
          </w:p>
        </w:tc>
        <w:tc>
          <w:tcPr>
            <w:tcW w:w="960" w:type="dxa"/>
            <w:tcBorders>
              <w:top w:val="nil"/>
              <w:left w:val="nil"/>
              <w:bottom w:val="single" w:color="auto" w:sz="4" w:space="0"/>
              <w:right w:val="single" w:color="auto" w:sz="4" w:space="0"/>
            </w:tcBorders>
          </w:tcPr>
          <w:p w14:paraId="333390B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P.S</w:t>
            </w:r>
          </w:p>
        </w:tc>
        <w:tc>
          <w:tcPr>
            <w:tcW w:w="1900" w:type="dxa"/>
            <w:tcBorders>
              <w:top w:val="nil"/>
              <w:left w:val="nil"/>
              <w:bottom w:val="single" w:color="auto" w:sz="4" w:space="0"/>
              <w:right w:val="single" w:color="auto" w:sz="4" w:space="0"/>
            </w:tcBorders>
          </w:tcPr>
          <w:p w14:paraId="5C439AE4">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30,000.00 </w:t>
            </w:r>
          </w:p>
        </w:tc>
        <w:tc>
          <w:tcPr>
            <w:tcW w:w="1806" w:type="dxa"/>
            <w:tcBorders>
              <w:top w:val="nil"/>
              <w:left w:val="nil"/>
              <w:bottom w:val="single" w:color="auto" w:sz="4" w:space="0"/>
              <w:right w:val="single" w:color="auto" w:sz="8" w:space="0"/>
            </w:tcBorders>
          </w:tcPr>
          <w:p w14:paraId="2899F19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30,000.00 </w:t>
            </w:r>
          </w:p>
        </w:tc>
      </w:tr>
      <w:tr w14:paraId="5CC523B7">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77B4579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C90572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86C483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D1B1FA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49B047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A063FA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A69B6B1">
        <w:tblPrEx>
          <w:tblCellMar>
            <w:top w:w="0" w:type="dxa"/>
            <w:left w:w="108" w:type="dxa"/>
            <w:bottom w:w="0" w:type="dxa"/>
            <w:right w:w="108" w:type="dxa"/>
          </w:tblCellMar>
        </w:tblPrEx>
        <w:trPr>
          <w:trHeight w:val="5355" w:hRule="atLeast"/>
        </w:trPr>
        <w:tc>
          <w:tcPr>
            <w:tcW w:w="576" w:type="dxa"/>
            <w:tcBorders>
              <w:top w:val="nil"/>
              <w:left w:val="single" w:color="auto" w:sz="8" w:space="0"/>
              <w:bottom w:val="nil"/>
              <w:right w:val="single" w:color="auto" w:sz="4" w:space="0"/>
            </w:tcBorders>
          </w:tcPr>
          <w:p w14:paraId="11F7FDE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12.2</w:t>
            </w:r>
          </w:p>
        </w:tc>
        <w:tc>
          <w:tcPr>
            <w:tcW w:w="3144" w:type="dxa"/>
            <w:tcBorders>
              <w:top w:val="nil"/>
              <w:left w:val="nil"/>
              <w:bottom w:val="single" w:color="auto" w:sz="4" w:space="0"/>
              <w:right w:val="single" w:color="auto" w:sz="4" w:space="0"/>
            </w:tcBorders>
          </w:tcPr>
          <w:p w14:paraId="71D5036C">
            <w:pPr>
              <w:spacing w:line="240" w:lineRule="auto"/>
              <w:rPr>
                <w:rFonts w:ascii="Times New Roman" w:hAnsi="Times New Roman" w:eastAsia="Times New Roman"/>
                <w:sz w:val="16"/>
                <w:szCs w:val="16"/>
              </w:rPr>
            </w:pPr>
            <w:r>
              <w:rPr>
                <w:rFonts w:ascii="Times New Roman" w:hAnsi="Times New Roman" w:eastAsia="Times New Roman"/>
                <w:sz w:val="16"/>
                <w:szCs w:val="16"/>
              </w:rPr>
              <w:t>Allow a Provisional Sum of Kshs. 100,000 for supply and installation of the 1 Nr 5000 litres capacity "Roto" or approved water tank complete with provisions for inlet pipe, outlet pipe,overflow pipe and drain pipe to site drainage and requisite chambers. The rate to also include for ball valve 32mm diameter medium pressure ball valve as "PORTSMOUTH" type or approved equivalent with brass stem and plastic float, screwed to threaded socket of tank including union. Provide and install burglar proofing with mild steel frame around the tank as shown in Drawing No. M398-17-17</w:t>
            </w:r>
          </w:p>
        </w:tc>
        <w:tc>
          <w:tcPr>
            <w:tcW w:w="960" w:type="dxa"/>
            <w:tcBorders>
              <w:top w:val="nil"/>
              <w:left w:val="nil"/>
              <w:bottom w:val="single" w:color="auto" w:sz="4" w:space="0"/>
              <w:right w:val="single" w:color="auto" w:sz="4" w:space="0"/>
            </w:tcBorders>
          </w:tcPr>
          <w:p w14:paraId="13F14B6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Item</w:t>
            </w:r>
          </w:p>
        </w:tc>
        <w:tc>
          <w:tcPr>
            <w:tcW w:w="960" w:type="dxa"/>
            <w:tcBorders>
              <w:top w:val="nil"/>
              <w:left w:val="nil"/>
              <w:bottom w:val="single" w:color="auto" w:sz="4" w:space="0"/>
              <w:right w:val="single" w:color="auto" w:sz="4" w:space="0"/>
            </w:tcBorders>
          </w:tcPr>
          <w:p w14:paraId="2AE5BFE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P.S</w:t>
            </w:r>
          </w:p>
        </w:tc>
        <w:tc>
          <w:tcPr>
            <w:tcW w:w="1900" w:type="dxa"/>
            <w:tcBorders>
              <w:top w:val="nil"/>
              <w:left w:val="nil"/>
              <w:bottom w:val="single" w:color="auto" w:sz="4" w:space="0"/>
              <w:right w:val="single" w:color="auto" w:sz="4" w:space="0"/>
            </w:tcBorders>
          </w:tcPr>
          <w:p w14:paraId="4AFFB777">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100,000.00 </w:t>
            </w:r>
          </w:p>
        </w:tc>
        <w:tc>
          <w:tcPr>
            <w:tcW w:w="1806" w:type="dxa"/>
            <w:tcBorders>
              <w:top w:val="nil"/>
              <w:left w:val="nil"/>
              <w:bottom w:val="single" w:color="auto" w:sz="4" w:space="0"/>
              <w:right w:val="single" w:color="auto" w:sz="8" w:space="0"/>
            </w:tcBorders>
          </w:tcPr>
          <w:p w14:paraId="4F2E330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100,000.00 </w:t>
            </w:r>
          </w:p>
        </w:tc>
      </w:tr>
      <w:tr w14:paraId="43ECF544">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049281E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38DB64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E96D9A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C297C7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E97D6B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213FD6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1B63723">
        <w:tblPrEx>
          <w:tblCellMar>
            <w:top w:w="0" w:type="dxa"/>
            <w:left w:w="108" w:type="dxa"/>
            <w:bottom w:w="0" w:type="dxa"/>
            <w:right w:w="108" w:type="dxa"/>
          </w:tblCellMar>
        </w:tblPrEx>
        <w:trPr>
          <w:trHeight w:val="300" w:hRule="atLeast"/>
        </w:trPr>
        <w:tc>
          <w:tcPr>
            <w:tcW w:w="576" w:type="dxa"/>
            <w:tcBorders>
              <w:top w:val="nil"/>
              <w:left w:val="single" w:color="auto" w:sz="8" w:space="0"/>
              <w:bottom w:val="nil"/>
              <w:right w:val="single" w:color="auto" w:sz="4" w:space="0"/>
            </w:tcBorders>
          </w:tcPr>
          <w:p w14:paraId="748A08EB">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13</w:t>
            </w:r>
          </w:p>
        </w:tc>
        <w:tc>
          <w:tcPr>
            <w:tcW w:w="3144" w:type="dxa"/>
            <w:tcBorders>
              <w:top w:val="nil"/>
              <w:left w:val="nil"/>
              <w:bottom w:val="nil"/>
              <w:right w:val="single" w:color="auto" w:sz="4" w:space="0"/>
            </w:tcBorders>
          </w:tcPr>
          <w:p w14:paraId="6E8509B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ELECTRICAL WORKS</w:t>
            </w:r>
          </w:p>
        </w:tc>
        <w:tc>
          <w:tcPr>
            <w:tcW w:w="960" w:type="dxa"/>
            <w:tcBorders>
              <w:top w:val="nil"/>
              <w:left w:val="nil"/>
              <w:bottom w:val="single" w:color="auto" w:sz="4" w:space="0"/>
              <w:right w:val="single" w:color="auto" w:sz="4" w:space="0"/>
            </w:tcBorders>
          </w:tcPr>
          <w:p w14:paraId="00D1C1E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A08F62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4D88007">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0B4588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F75DA49">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366DF8F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single" w:color="auto" w:sz="4" w:space="0"/>
              <w:left w:val="nil"/>
              <w:bottom w:val="single" w:color="auto" w:sz="4" w:space="0"/>
              <w:right w:val="single" w:color="auto" w:sz="4" w:space="0"/>
            </w:tcBorders>
          </w:tcPr>
          <w:p w14:paraId="33F48E2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7FEE62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8D1556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1C5BFA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A558FA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9FB06B2">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3743CE5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13.1</w:t>
            </w:r>
          </w:p>
        </w:tc>
        <w:tc>
          <w:tcPr>
            <w:tcW w:w="3144" w:type="dxa"/>
            <w:tcBorders>
              <w:top w:val="nil"/>
              <w:left w:val="nil"/>
              <w:bottom w:val="single" w:color="auto" w:sz="4" w:space="0"/>
              <w:right w:val="nil"/>
            </w:tcBorders>
          </w:tcPr>
          <w:p w14:paraId="3F503680">
            <w:pPr>
              <w:spacing w:line="240" w:lineRule="auto"/>
              <w:rPr>
                <w:rFonts w:ascii="Times New Roman" w:hAnsi="Times New Roman" w:eastAsia="Times New Roman"/>
                <w:sz w:val="16"/>
                <w:szCs w:val="16"/>
              </w:rPr>
            </w:pPr>
            <w:r>
              <w:rPr>
                <w:rFonts w:ascii="Times New Roman" w:hAnsi="Times New Roman" w:eastAsia="Times New Roman"/>
                <w:sz w:val="16"/>
                <w:szCs w:val="16"/>
              </w:rPr>
              <w:t>Allow a Provisional Sum of Kshs. 200,000 for connection to nearest KPLC power.</w:t>
            </w:r>
          </w:p>
        </w:tc>
        <w:tc>
          <w:tcPr>
            <w:tcW w:w="960" w:type="dxa"/>
            <w:tcBorders>
              <w:top w:val="nil"/>
              <w:left w:val="single" w:color="auto" w:sz="4" w:space="0"/>
              <w:bottom w:val="single" w:color="auto" w:sz="4" w:space="0"/>
              <w:right w:val="single" w:color="auto" w:sz="4" w:space="0"/>
            </w:tcBorders>
          </w:tcPr>
          <w:p w14:paraId="0347A43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Item </w:t>
            </w:r>
          </w:p>
        </w:tc>
        <w:tc>
          <w:tcPr>
            <w:tcW w:w="960" w:type="dxa"/>
            <w:tcBorders>
              <w:top w:val="nil"/>
              <w:left w:val="nil"/>
              <w:bottom w:val="single" w:color="auto" w:sz="4" w:space="0"/>
              <w:right w:val="single" w:color="auto" w:sz="4" w:space="0"/>
            </w:tcBorders>
          </w:tcPr>
          <w:p w14:paraId="6E74ACE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P.S</w:t>
            </w:r>
          </w:p>
        </w:tc>
        <w:tc>
          <w:tcPr>
            <w:tcW w:w="1900" w:type="dxa"/>
            <w:tcBorders>
              <w:top w:val="nil"/>
              <w:left w:val="nil"/>
              <w:bottom w:val="single" w:color="auto" w:sz="4" w:space="0"/>
              <w:right w:val="single" w:color="auto" w:sz="4" w:space="0"/>
            </w:tcBorders>
          </w:tcPr>
          <w:p w14:paraId="0D19CD40">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200,000.00 </w:t>
            </w:r>
          </w:p>
        </w:tc>
        <w:tc>
          <w:tcPr>
            <w:tcW w:w="1806" w:type="dxa"/>
            <w:tcBorders>
              <w:top w:val="nil"/>
              <w:left w:val="nil"/>
              <w:bottom w:val="single" w:color="auto" w:sz="4" w:space="0"/>
              <w:right w:val="single" w:color="auto" w:sz="8" w:space="0"/>
            </w:tcBorders>
          </w:tcPr>
          <w:p w14:paraId="31E3C4A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200,000.00 </w:t>
            </w:r>
          </w:p>
        </w:tc>
      </w:tr>
      <w:tr w14:paraId="34C4A1E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E3C829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26B20A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2D107F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82BE32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6B6272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50826C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0CF3224">
        <w:tblPrEx>
          <w:tblCellMar>
            <w:top w:w="0" w:type="dxa"/>
            <w:left w:w="108" w:type="dxa"/>
            <w:bottom w:w="0" w:type="dxa"/>
            <w:right w:w="108" w:type="dxa"/>
          </w:tblCellMar>
        </w:tblPrEx>
        <w:trPr>
          <w:trHeight w:val="2550" w:hRule="atLeast"/>
        </w:trPr>
        <w:tc>
          <w:tcPr>
            <w:tcW w:w="576" w:type="dxa"/>
            <w:tcBorders>
              <w:top w:val="nil"/>
              <w:left w:val="single" w:color="auto" w:sz="8" w:space="0"/>
              <w:bottom w:val="single" w:color="auto" w:sz="4" w:space="0"/>
              <w:right w:val="single" w:color="auto" w:sz="4" w:space="0"/>
            </w:tcBorders>
          </w:tcPr>
          <w:p w14:paraId="7684975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13.2</w:t>
            </w:r>
          </w:p>
        </w:tc>
        <w:tc>
          <w:tcPr>
            <w:tcW w:w="3144" w:type="dxa"/>
            <w:tcBorders>
              <w:top w:val="nil"/>
              <w:left w:val="nil"/>
              <w:bottom w:val="single" w:color="auto" w:sz="4" w:space="0"/>
              <w:right w:val="nil"/>
            </w:tcBorders>
          </w:tcPr>
          <w:p w14:paraId="57AF2F83">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Allow a Provisional Sum of Kshs. 250,000 for provision and installation of electric fittings and fixtures to the ablution block including all wiring, cabling, security lights,sockets, switches, Consumer Unit, Meters, lighting fixtures etc as directed by the Engineer. </w:t>
            </w:r>
          </w:p>
        </w:tc>
        <w:tc>
          <w:tcPr>
            <w:tcW w:w="960" w:type="dxa"/>
            <w:tcBorders>
              <w:top w:val="nil"/>
              <w:left w:val="single" w:color="auto" w:sz="4" w:space="0"/>
              <w:bottom w:val="single" w:color="auto" w:sz="4" w:space="0"/>
              <w:right w:val="single" w:color="auto" w:sz="4" w:space="0"/>
            </w:tcBorders>
          </w:tcPr>
          <w:p w14:paraId="76BE89E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Item</w:t>
            </w:r>
          </w:p>
        </w:tc>
        <w:tc>
          <w:tcPr>
            <w:tcW w:w="960" w:type="dxa"/>
            <w:tcBorders>
              <w:top w:val="nil"/>
              <w:left w:val="nil"/>
              <w:bottom w:val="single" w:color="auto" w:sz="4" w:space="0"/>
              <w:right w:val="single" w:color="auto" w:sz="4" w:space="0"/>
            </w:tcBorders>
          </w:tcPr>
          <w:p w14:paraId="06BE6B6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P.S</w:t>
            </w:r>
          </w:p>
        </w:tc>
        <w:tc>
          <w:tcPr>
            <w:tcW w:w="1900" w:type="dxa"/>
            <w:tcBorders>
              <w:top w:val="nil"/>
              <w:left w:val="nil"/>
              <w:bottom w:val="single" w:color="auto" w:sz="4" w:space="0"/>
              <w:right w:val="single" w:color="auto" w:sz="4" w:space="0"/>
            </w:tcBorders>
          </w:tcPr>
          <w:p w14:paraId="522AC5F3">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250,000.00 </w:t>
            </w:r>
          </w:p>
        </w:tc>
        <w:tc>
          <w:tcPr>
            <w:tcW w:w="1806" w:type="dxa"/>
            <w:tcBorders>
              <w:top w:val="nil"/>
              <w:left w:val="nil"/>
              <w:bottom w:val="single" w:color="auto" w:sz="4" w:space="0"/>
              <w:right w:val="single" w:color="auto" w:sz="8" w:space="0"/>
            </w:tcBorders>
          </w:tcPr>
          <w:p w14:paraId="4DF8E75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250,000.00 </w:t>
            </w:r>
          </w:p>
        </w:tc>
      </w:tr>
      <w:tr w14:paraId="4B949D6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7C38AD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nil"/>
            </w:tcBorders>
          </w:tcPr>
          <w:p w14:paraId="73B2F675">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3A5CCD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AB0CC3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B965D73">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28BE31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69AF532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F66AE3E">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413751BF">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Water Supply</w:t>
            </w:r>
          </w:p>
        </w:tc>
        <w:tc>
          <w:tcPr>
            <w:tcW w:w="960" w:type="dxa"/>
            <w:tcBorders>
              <w:top w:val="nil"/>
              <w:left w:val="nil"/>
              <w:bottom w:val="single" w:color="auto" w:sz="4" w:space="0"/>
              <w:right w:val="single" w:color="auto" w:sz="4" w:space="0"/>
            </w:tcBorders>
          </w:tcPr>
          <w:p w14:paraId="0247E255">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1AC29778">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3639A01A">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5BBFD731">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450,000.00 </w:t>
            </w:r>
          </w:p>
        </w:tc>
      </w:tr>
      <w:tr w14:paraId="364EB70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616160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856CA2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4951C7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7710DB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472715B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17811C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D8D232F">
        <w:tblPrEx>
          <w:tblCellMar>
            <w:top w:w="0" w:type="dxa"/>
            <w:left w:w="108" w:type="dxa"/>
            <w:bottom w:w="0" w:type="dxa"/>
            <w:right w:w="108" w:type="dxa"/>
          </w:tblCellMar>
        </w:tblPrEx>
        <w:trPr>
          <w:trHeight w:val="510" w:hRule="atLeast"/>
        </w:trPr>
        <w:tc>
          <w:tcPr>
            <w:tcW w:w="576" w:type="dxa"/>
            <w:tcBorders>
              <w:top w:val="nil"/>
              <w:left w:val="single" w:color="auto" w:sz="8" w:space="0"/>
              <w:bottom w:val="nil"/>
              <w:right w:val="nil"/>
            </w:tcBorders>
          </w:tcPr>
          <w:p w14:paraId="04D0D9DF">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14</w:t>
            </w:r>
          </w:p>
        </w:tc>
        <w:tc>
          <w:tcPr>
            <w:tcW w:w="3144" w:type="dxa"/>
            <w:tcBorders>
              <w:top w:val="nil"/>
              <w:left w:val="single" w:color="auto" w:sz="4" w:space="0"/>
              <w:bottom w:val="single" w:color="auto" w:sz="4" w:space="0"/>
              <w:right w:val="single" w:color="auto" w:sz="4" w:space="0"/>
            </w:tcBorders>
          </w:tcPr>
          <w:p w14:paraId="5B42EE51">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SITE AND ANCILLARY WORKS</w:t>
            </w:r>
          </w:p>
        </w:tc>
        <w:tc>
          <w:tcPr>
            <w:tcW w:w="960" w:type="dxa"/>
            <w:tcBorders>
              <w:top w:val="nil"/>
              <w:left w:val="nil"/>
              <w:bottom w:val="single" w:color="auto" w:sz="4" w:space="0"/>
              <w:right w:val="single" w:color="auto" w:sz="4" w:space="0"/>
            </w:tcBorders>
          </w:tcPr>
          <w:p w14:paraId="31BD7D0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D71789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52B070E">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EBA564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E02136C">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single" w:color="auto" w:sz="4" w:space="0"/>
              <w:right w:val="single" w:color="auto" w:sz="4" w:space="0"/>
            </w:tcBorders>
          </w:tcPr>
          <w:p w14:paraId="6A8B94CB">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07D81DF8">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FOOTPATHS</w:t>
            </w:r>
          </w:p>
        </w:tc>
        <w:tc>
          <w:tcPr>
            <w:tcW w:w="960" w:type="dxa"/>
            <w:tcBorders>
              <w:top w:val="nil"/>
              <w:left w:val="nil"/>
              <w:bottom w:val="single" w:color="auto" w:sz="4" w:space="0"/>
              <w:right w:val="single" w:color="auto" w:sz="4" w:space="0"/>
            </w:tcBorders>
          </w:tcPr>
          <w:p w14:paraId="09026DF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D4253E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499D2A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C34508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B3A8EDD">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0B001E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B45FBC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6D984C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1C7543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6F72D0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3875E5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88ACB4D">
        <w:tblPrEx>
          <w:tblCellMar>
            <w:top w:w="0" w:type="dxa"/>
            <w:left w:w="108" w:type="dxa"/>
            <w:bottom w:w="0" w:type="dxa"/>
            <w:right w:w="108" w:type="dxa"/>
          </w:tblCellMar>
        </w:tblPrEx>
        <w:trPr>
          <w:trHeight w:val="1020" w:hRule="atLeast"/>
        </w:trPr>
        <w:tc>
          <w:tcPr>
            <w:tcW w:w="576" w:type="dxa"/>
            <w:tcBorders>
              <w:top w:val="nil"/>
              <w:left w:val="single" w:color="auto" w:sz="8" w:space="0"/>
              <w:bottom w:val="single" w:color="auto" w:sz="4" w:space="0"/>
              <w:right w:val="single" w:color="auto" w:sz="4" w:space="0"/>
            </w:tcBorders>
          </w:tcPr>
          <w:p w14:paraId="50877FA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14.1</w:t>
            </w:r>
          </w:p>
        </w:tc>
        <w:tc>
          <w:tcPr>
            <w:tcW w:w="3144" w:type="dxa"/>
            <w:tcBorders>
              <w:top w:val="nil"/>
              <w:left w:val="nil"/>
              <w:bottom w:val="single" w:color="auto" w:sz="4" w:space="0"/>
              <w:right w:val="single" w:color="auto" w:sz="4" w:space="0"/>
            </w:tcBorders>
          </w:tcPr>
          <w:p w14:paraId="79396C41">
            <w:pPr>
              <w:spacing w:line="240" w:lineRule="auto"/>
              <w:rPr>
                <w:rFonts w:ascii="Times New Roman" w:hAnsi="Times New Roman" w:eastAsia="Times New Roman"/>
                <w:sz w:val="16"/>
                <w:szCs w:val="16"/>
              </w:rPr>
            </w:pPr>
            <w:r>
              <w:rPr>
                <w:rFonts w:ascii="Times New Roman" w:hAnsi="Times New Roman" w:eastAsia="Times New Roman"/>
                <w:sz w:val="16"/>
                <w:szCs w:val="16"/>
              </w:rPr>
              <w:t>Provide, lay and compact 150mm thick murram base to footpaths as specified (Provisional)</w:t>
            </w:r>
          </w:p>
        </w:tc>
        <w:tc>
          <w:tcPr>
            <w:tcW w:w="960" w:type="dxa"/>
            <w:tcBorders>
              <w:top w:val="nil"/>
              <w:left w:val="nil"/>
              <w:bottom w:val="single" w:color="auto" w:sz="4" w:space="0"/>
              <w:right w:val="single" w:color="auto" w:sz="4" w:space="0"/>
            </w:tcBorders>
          </w:tcPr>
          <w:p w14:paraId="2AFAEF1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77B38B1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9</w:t>
            </w:r>
          </w:p>
        </w:tc>
        <w:tc>
          <w:tcPr>
            <w:tcW w:w="1900" w:type="dxa"/>
            <w:tcBorders>
              <w:top w:val="nil"/>
              <w:left w:val="nil"/>
              <w:bottom w:val="single" w:color="auto" w:sz="4" w:space="0"/>
              <w:right w:val="single" w:color="auto" w:sz="4" w:space="0"/>
            </w:tcBorders>
          </w:tcPr>
          <w:p w14:paraId="3DEBD89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400.00 </w:t>
            </w:r>
          </w:p>
        </w:tc>
        <w:tc>
          <w:tcPr>
            <w:tcW w:w="1806" w:type="dxa"/>
            <w:tcBorders>
              <w:top w:val="nil"/>
              <w:left w:val="nil"/>
              <w:bottom w:val="single" w:color="auto" w:sz="4" w:space="0"/>
              <w:right w:val="single" w:color="auto" w:sz="8" w:space="0"/>
            </w:tcBorders>
          </w:tcPr>
          <w:p w14:paraId="1BE197D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3,600.00 </w:t>
            </w:r>
          </w:p>
        </w:tc>
      </w:tr>
      <w:tr w14:paraId="70F600C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FA62BA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64E587F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49E414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63B619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F1BB00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43DC68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717C3EA">
        <w:tblPrEx>
          <w:tblCellMar>
            <w:top w:w="0" w:type="dxa"/>
            <w:left w:w="108" w:type="dxa"/>
            <w:bottom w:w="0" w:type="dxa"/>
            <w:right w:w="108" w:type="dxa"/>
          </w:tblCellMar>
        </w:tblPrEx>
        <w:trPr>
          <w:trHeight w:val="765" w:hRule="atLeast"/>
        </w:trPr>
        <w:tc>
          <w:tcPr>
            <w:tcW w:w="576" w:type="dxa"/>
            <w:tcBorders>
              <w:top w:val="nil"/>
              <w:left w:val="single" w:color="auto" w:sz="8" w:space="0"/>
              <w:bottom w:val="single" w:color="auto" w:sz="4" w:space="0"/>
              <w:right w:val="single" w:color="auto" w:sz="4" w:space="0"/>
            </w:tcBorders>
          </w:tcPr>
          <w:p w14:paraId="2888ED6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14.2</w:t>
            </w:r>
          </w:p>
        </w:tc>
        <w:tc>
          <w:tcPr>
            <w:tcW w:w="3144" w:type="dxa"/>
            <w:tcBorders>
              <w:top w:val="nil"/>
              <w:left w:val="nil"/>
              <w:bottom w:val="single" w:color="auto" w:sz="4" w:space="0"/>
              <w:right w:val="single" w:color="auto" w:sz="4" w:space="0"/>
            </w:tcBorders>
          </w:tcPr>
          <w:p w14:paraId="28081588">
            <w:pPr>
              <w:spacing w:line="240" w:lineRule="auto"/>
              <w:rPr>
                <w:rFonts w:ascii="Times New Roman" w:hAnsi="Times New Roman" w:eastAsia="Times New Roman"/>
                <w:sz w:val="16"/>
                <w:szCs w:val="16"/>
              </w:rPr>
            </w:pPr>
            <w:r>
              <w:rPr>
                <w:rFonts w:ascii="Times New Roman" w:hAnsi="Times New Roman" w:eastAsia="Times New Roman"/>
                <w:sz w:val="16"/>
                <w:szCs w:val="16"/>
              </w:rPr>
              <w:t>Provide and apply approved weed killer to murram base for footpaths (Provisional)</w:t>
            </w:r>
          </w:p>
        </w:tc>
        <w:tc>
          <w:tcPr>
            <w:tcW w:w="960" w:type="dxa"/>
            <w:tcBorders>
              <w:top w:val="nil"/>
              <w:left w:val="nil"/>
              <w:bottom w:val="single" w:color="auto" w:sz="4" w:space="0"/>
              <w:right w:val="single" w:color="auto" w:sz="4" w:space="0"/>
            </w:tcBorders>
          </w:tcPr>
          <w:p w14:paraId="592ED41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748ADCA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9</w:t>
            </w:r>
          </w:p>
        </w:tc>
        <w:tc>
          <w:tcPr>
            <w:tcW w:w="1900" w:type="dxa"/>
            <w:tcBorders>
              <w:top w:val="nil"/>
              <w:left w:val="nil"/>
              <w:bottom w:val="single" w:color="auto" w:sz="4" w:space="0"/>
              <w:right w:val="single" w:color="auto" w:sz="4" w:space="0"/>
            </w:tcBorders>
          </w:tcPr>
          <w:p w14:paraId="0E3FE74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125.00 </w:t>
            </w:r>
          </w:p>
        </w:tc>
        <w:tc>
          <w:tcPr>
            <w:tcW w:w="1806" w:type="dxa"/>
            <w:tcBorders>
              <w:top w:val="nil"/>
              <w:left w:val="nil"/>
              <w:bottom w:val="single" w:color="auto" w:sz="4" w:space="0"/>
              <w:right w:val="single" w:color="auto" w:sz="8" w:space="0"/>
            </w:tcBorders>
          </w:tcPr>
          <w:p w14:paraId="44979AB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1,125.00 </w:t>
            </w:r>
          </w:p>
        </w:tc>
      </w:tr>
      <w:tr w14:paraId="234C85E0">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5C3A28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D3EE99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1930EF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1B1981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524379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976880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DA202F6">
        <w:tblPrEx>
          <w:tblCellMar>
            <w:top w:w="0" w:type="dxa"/>
            <w:left w:w="108" w:type="dxa"/>
            <w:bottom w:w="0" w:type="dxa"/>
            <w:right w:w="108" w:type="dxa"/>
          </w:tblCellMar>
        </w:tblPrEx>
        <w:trPr>
          <w:trHeight w:val="1020" w:hRule="atLeast"/>
        </w:trPr>
        <w:tc>
          <w:tcPr>
            <w:tcW w:w="576" w:type="dxa"/>
            <w:tcBorders>
              <w:top w:val="nil"/>
              <w:left w:val="single" w:color="auto" w:sz="8" w:space="0"/>
              <w:bottom w:val="single" w:color="auto" w:sz="4" w:space="0"/>
              <w:right w:val="single" w:color="auto" w:sz="4" w:space="0"/>
            </w:tcBorders>
          </w:tcPr>
          <w:p w14:paraId="49B8B15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14.3</w:t>
            </w:r>
          </w:p>
        </w:tc>
        <w:tc>
          <w:tcPr>
            <w:tcW w:w="3144" w:type="dxa"/>
            <w:tcBorders>
              <w:top w:val="nil"/>
              <w:left w:val="nil"/>
              <w:bottom w:val="single" w:color="auto" w:sz="4" w:space="0"/>
              <w:right w:val="single" w:color="auto" w:sz="4" w:space="0"/>
            </w:tcBorders>
          </w:tcPr>
          <w:p w14:paraId="4D788E67">
            <w:pPr>
              <w:spacing w:line="240" w:lineRule="auto"/>
              <w:rPr>
                <w:rFonts w:ascii="Times New Roman" w:hAnsi="Times New Roman" w:eastAsia="Times New Roman"/>
                <w:sz w:val="16"/>
                <w:szCs w:val="16"/>
              </w:rPr>
            </w:pPr>
            <w:r>
              <w:rPr>
                <w:rFonts w:ascii="Times New Roman" w:hAnsi="Times New Roman" w:eastAsia="Times New Roman"/>
                <w:sz w:val="16"/>
                <w:szCs w:val="16"/>
              </w:rPr>
              <w:t>Precast concrete paving in 600mm x 600mm x 60mm slabs jointed and grouted up in lime and sand (1:3)</w:t>
            </w:r>
          </w:p>
        </w:tc>
        <w:tc>
          <w:tcPr>
            <w:tcW w:w="960" w:type="dxa"/>
            <w:tcBorders>
              <w:top w:val="nil"/>
              <w:left w:val="nil"/>
              <w:bottom w:val="single" w:color="auto" w:sz="4" w:space="0"/>
              <w:right w:val="single" w:color="auto" w:sz="4" w:space="0"/>
            </w:tcBorders>
          </w:tcPr>
          <w:p w14:paraId="24FBF4E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70EF734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9</w:t>
            </w:r>
          </w:p>
        </w:tc>
        <w:tc>
          <w:tcPr>
            <w:tcW w:w="1900" w:type="dxa"/>
            <w:tcBorders>
              <w:top w:val="nil"/>
              <w:left w:val="nil"/>
              <w:bottom w:val="single" w:color="auto" w:sz="4" w:space="0"/>
              <w:right w:val="single" w:color="auto" w:sz="4" w:space="0"/>
            </w:tcBorders>
          </w:tcPr>
          <w:p w14:paraId="2D261C1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750.00 </w:t>
            </w:r>
          </w:p>
        </w:tc>
        <w:tc>
          <w:tcPr>
            <w:tcW w:w="1806" w:type="dxa"/>
            <w:tcBorders>
              <w:top w:val="nil"/>
              <w:left w:val="nil"/>
              <w:bottom w:val="single" w:color="auto" w:sz="4" w:space="0"/>
              <w:right w:val="single" w:color="auto" w:sz="8" w:space="0"/>
            </w:tcBorders>
          </w:tcPr>
          <w:p w14:paraId="2A10B2A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6,750.00 </w:t>
            </w:r>
          </w:p>
        </w:tc>
      </w:tr>
      <w:tr w14:paraId="5D8B067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B5878D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C2102B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972C15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26FCE6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64DBD7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F6AC16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E3418DB">
        <w:tblPrEx>
          <w:tblCellMar>
            <w:top w:w="0" w:type="dxa"/>
            <w:left w:w="108" w:type="dxa"/>
            <w:bottom w:w="0" w:type="dxa"/>
            <w:right w:w="108" w:type="dxa"/>
          </w:tblCellMar>
        </w:tblPrEx>
        <w:trPr>
          <w:trHeight w:val="1020" w:hRule="atLeast"/>
        </w:trPr>
        <w:tc>
          <w:tcPr>
            <w:tcW w:w="576" w:type="dxa"/>
            <w:tcBorders>
              <w:top w:val="nil"/>
              <w:left w:val="single" w:color="auto" w:sz="8" w:space="0"/>
              <w:bottom w:val="single" w:color="auto" w:sz="4" w:space="0"/>
              <w:right w:val="single" w:color="auto" w:sz="4" w:space="0"/>
            </w:tcBorders>
          </w:tcPr>
          <w:p w14:paraId="39836F2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14.4</w:t>
            </w:r>
          </w:p>
        </w:tc>
        <w:tc>
          <w:tcPr>
            <w:tcW w:w="3144" w:type="dxa"/>
            <w:tcBorders>
              <w:top w:val="nil"/>
              <w:left w:val="nil"/>
              <w:bottom w:val="single" w:color="auto" w:sz="4" w:space="0"/>
              <w:right w:val="single" w:color="auto" w:sz="4" w:space="0"/>
            </w:tcBorders>
          </w:tcPr>
          <w:p w14:paraId="024BEAF0">
            <w:pPr>
              <w:spacing w:line="240" w:lineRule="auto"/>
              <w:rPr>
                <w:rFonts w:ascii="Times New Roman" w:hAnsi="Times New Roman" w:eastAsia="Times New Roman"/>
                <w:sz w:val="16"/>
                <w:szCs w:val="16"/>
              </w:rPr>
            </w:pPr>
            <w:r>
              <w:rPr>
                <w:rFonts w:ascii="Times New Roman" w:hAnsi="Times New Roman" w:eastAsia="Times New Roman"/>
                <w:sz w:val="16"/>
                <w:szCs w:val="16"/>
              </w:rPr>
              <w:t>E.O for providing all materials and constructing steps along footpath as directed (treads - 300mm, risers - 150mm)</w:t>
            </w:r>
          </w:p>
        </w:tc>
        <w:tc>
          <w:tcPr>
            <w:tcW w:w="960" w:type="dxa"/>
            <w:tcBorders>
              <w:top w:val="nil"/>
              <w:left w:val="nil"/>
              <w:bottom w:val="single" w:color="auto" w:sz="4" w:space="0"/>
              <w:right w:val="single" w:color="auto" w:sz="4" w:space="0"/>
            </w:tcBorders>
          </w:tcPr>
          <w:p w14:paraId="35809C6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21FD037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5</w:t>
            </w:r>
          </w:p>
        </w:tc>
        <w:tc>
          <w:tcPr>
            <w:tcW w:w="1900" w:type="dxa"/>
            <w:tcBorders>
              <w:top w:val="nil"/>
              <w:left w:val="nil"/>
              <w:bottom w:val="single" w:color="auto" w:sz="4" w:space="0"/>
              <w:right w:val="single" w:color="auto" w:sz="4" w:space="0"/>
            </w:tcBorders>
          </w:tcPr>
          <w:p w14:paraId="027BF51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950.00 </w:t>
            </w:r>
          </w:p>
        </w:tc>
        <w:tc>
          <w:tcPr>
            <w:tcW w:w="1806" w:type="dxa"/>
            <w:tcBorders>
              <w:top w:val="nil"/>
              <w:left w:val="nil"/>
              <w:bottom w:val="single" w:color="auto" w:sz="4" w:space="0"/>
              <w:right w:val="single" w:color="auto" w:sz="8" w:space="0"/>
            </w:tcBorders>
          </w:tcPr>
          <w:p w14:paraId="6875E73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4,750.00 </w:t>
            </w:r>
          </w:p>
        </w:tc>
      </w:tr>
      <w:tr w14:paraId="53C4BFF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FAA34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FBDE1E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29071E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A6E5E9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730BA2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361389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3CB853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E0528AB">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66F5FBF7">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FENCING AND GATES</w:t>
            </w:r>
          </w:p>
        </w:tc>
        <w:tc>
          <w:tcPr>
            <w:tcW w:w="960" w:type="dxa"/>
            <w:tcBorders>
              <w:top w:val="nil"/>
              <w:left w:val="nil"/>
              <w:bottom w:val="single" w:color="auto" w:sz="4" w:space="0"/>
              <w:right w:val="single" w:color="auto" w:sz="4" w:space="0"/>
            </w:tcBorders>
          </w:tcPr>
          <w:p w14:paraId="05D0166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AF79DC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86C652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1729503">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597B704">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1C30CE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2D336B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BE7C05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4C973C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F6ACA3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EDD948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6A57BB5">
        <w:tblPrEx>
          <w:tblCellMar>
            <w:top w:w="0" w:type="dxa"/>
            <w:left w:w="108" w:type="dxa"/>
            <w:bottom w:w="0" w:type="dxa"/>
            <w:right w:w="108" w:type="dxa"/>
          </w:tblCellMar>
        </w:tblPrEx>
        <w:trPr>
          <w:trHeight w:val="2295" w:hRule="atLeast"/>
        </w:trPr>
        <w:tc>
          <w:tcPr>
            <w:tcW w:w="576" w:type="dxa"/>
            <w:tcBorders>
              <w:top w:val="nil"/>
              <w:left w:val="single" w:color="auto" w:sz="8" w:space="0"/>
              <w:bottom w:val="single" w:color="auto" w:sz="4" w:space="0"/>
              <w:right w:val="single" w:color="auto" w:sz="4" w:space="0"/>
            </w:tcBorders>
          </w:tcPr>
          <w:p w14:paraId="1854E23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14.5</w:t>
            </w:r>
          </w:p>
        </w:tc>
        <w:tc>
          <w:tcPr>
            <w:tcW w:w="3144" w:type="dxa"/>
            <w:tcBorders>
              <w:top w:val="nil"/>
              <w:left w:val="nil"/>
              <w:bottom w:val="single" w:color="auto" w:sz="4" w:space="0"/>
              <w:right w:val="single" w:color="auto" w:sz="4" w:space="0"/>
            </w:tcBorders>
          </w:tcPr>
          <w:p w14:paraId="0B77B9BE">
            <w:pPr>
              <w:spacing w:line="240" w:lineRule="auto"/>
              <w:rPr>
                <w:rFonts w:ascii="Times New Roman" w:hAnsi="Times New Roman" w:eastAsia="Times New Roman"/>
                <w:sz w:val="16"/>
                <w:szCs w:val="16"/>
              </w:rPr>
            </w:pPr>
            <w:r>
              <w:rPr>
                <w:rFonts w:ascii="Times New Roman" w:hAnsi="Times New Roman" w:eastAsia="Times New Roman"/>
                <w:sz w:val="16"/>
                <w:szCs w:val="16"/>
              </w:rPr>
              <w:t>Excavate for post holes, provide all materials and construct Barbed Wire Fence on wattle posts posts at 3m centre to centre including straining posts at every 10th post and additional posts at corners as per the standard drawings</w:t>
            </w:r>
          </w:p>
        </w:tc>
        <w:tc>
          <w:tcPr>
            <w:tcW w:w="960" w:type="dxa"/>
            <w:tcBorders>
              <w:top w:val="nil"/>
              <w:left w:val="nil"/>
              <w:bottom w:val="single" w:color="auto" w:sz="4" w:space="0"/>
              <w:right w:val="single" w:color="auto" w:sz="4" w:space="0"/>
            </w:tcBorders>
          </w:tcPr>
          <w:p w14:paraId="0B1D6C5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02D30A6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90</w:t>
            </w:r>
          </w:p>
        </w:tc>
        <w:tc>
          <w:tcPr>
            <w:tcW w:w="1900" w:type="dxa"/>
            <w:tcBorders>
              <w:top w:val="nil"/>
              <w:left w:val="nil"/>
              <w:bottom w:val="single" w:color="auto" w:sz="4" w:space="0"/>
              <w:right w:val="single" w:color="auto" w:sz="4" w:space="0"/>
            </w:tcBorders>
          </w:tcPr>
          <w:p w14:paraId="7543948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3,500.00 </w:t>
            </w:r>
          </w:p>
        </w:tc>
        <w:tc>
          <w:tcPr>
            <w:tcW w:w="1806" w:type="dxa"/>
            <w:tcBorders>
              <w:top w:val="nil"/>
              <w:left w:val="nil"/>
              <w:bottom w:val="single" w:color="auto" w:sz="4" w:space="0"/>
              <w:right w:val="single" w:color="auto" w:sz="8" w:space="0"/>
            </w:tcBorders>
          </w:tcPr>
          <w:p w14:paraId="3CA5908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315,000.00 </w:t>
            </w:r>
          </w:p>
        </w:tc>
      </w:tr>
      <w:tr w14:paraId="5B2A195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587963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D9B6093">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CD4CD0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AC984E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FFBFD6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134A1A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CE2C1F4">
        <w:tblPrEx>
          <w:tblCellMar>
            <w:top w:w="0" w:type="dxa"/>
            <w:left w:w="108" w:type="dxa"/>
            <w:bottom w:w="0" w:type="dxa"/>
            <w:right w:w="108" w:type="dxa"/>
          </w:tblCellMar>
        </w:tblPrEx>
        <w:trPr>
          <w:trHeight w:val="1275" w:hRule="atLeast"/>
        </w:trPr>
        <w:tc>
          <w:tcPr>
            <w:tcW w:w="576" w:type="dxa"/>
            <w:tcBorders>
              <w:top w:val="nil"/>
              <w:left w:val="single" w:color="auto" w:sz="8" w:space="0"/>
              <w:bottom w:val="single" w:color="auto" w:sz="4" w:space="0"/>
              <w:right w:val="single" w:color="auto" w:sz="4" w:space="0"/>
            </w:tcBorders>
          </w:tcPr>
          <w:p w14:paraId="791A4B9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14.6</w:t>
            </w:r>
          </w:p>
        </w:tc>
        <w:tc>
          <w:tcPr>
            <w:tcW w:w="3144" w:type="dxa"/>
            <w:tcBorders>
              <w:top w:val="nil"/>
              <w:left w:val="nil"/>
              <w:bottom w:val="single" w:color="auto" w:sz="4" w:space="0"/>
              <w:right w:val="single" w:color="auto" w:sz="4" w:space="0"/>
            </w:tcBorders>
          </w:tcPr>
          <w:p w14:paraId="00D294E9">
            <w:pPr>
              <w:spacing w:line="240" w:lineRule="auto"/>
              <w:rPr>
                <w:rFonts w:ascii="Times New Roman" w:hAnsi="Times New Roman" w:eastAsia="Times New Roman"/>
                <w:sz w:val="16"/>
                <w:szCs w:val="16"/>
              </w:rPr>
            </w:pPr>
            <w:r>
              <w:rPr>
                <w:rFonts w:ascii="Times New Roman" w:hAnsi="Times New Roman" w:eastAsia="Times New Roman"/>
                <w:sz w:val="16"/>
                <w:szCs w:val="16"/>
              </w:rPr>
              <w:t>Provide all materials and construct metal gates 2.0m wide including 2Nr. Pillars, footing, etc all as detailed on  per the standard drawings</w:t>
            </w:r>
          </w:p>
        </w:tc>
        <w:tc>
          <w:tcPr>
            <w:tcW w:w="960" w:type="dxa"/>
            <w:tcBorders>
              <w:top w:val="nil"/>
              <w:left w:val="nil"/>
              <w:bottom w:val="single" w:color="auto" w:sz="4" w:space="0"/>
              <w:right w:val="single" w:color="auto" w:sz="4" w:space="0"/>
            </w:tcBorders>
          </w:tcPr>
          <w:p w14:paraId="29A752D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1321AB5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w:t>
            </w:r>
          </w:p>
        </w:tc>
        <w:tc>
          <w:tcPr>
            <w:tcW w:w="1900" w:type="dxa"/>
            <w:tcBorders>
              <w:top w:val="nil"/>
              <w:left w:val="nil"/>
              <w:bottom w:val="single" w:color="auto" w:sz="4" w:space="0"/>
              <w:right w:val="single" w:color="auto" w:sz="4" w:space="0"/>
            </w:tcBorders>
          </w:tcPr>
          <w:p w14:paraId="0DB6240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50,000.00 </w:t>
            </w:r>
          </w:p>
        </w:tc>
        <w:tc>
          <w:tcPr>
            <w:tcW w:w="1806" w:type="dxa"/>
            <w:tcBorders>
              <w:top w:val="nil"/>
              <w:left w:val="nil"/>
              <w:bottom w:val="single" w:color="auto" w:sz="4" w:space="0"/>
              <w:right w:val="single" w:color="auto" w:sz="8" w:space="0"/>
            </w:tcBorders>
          </w:tcPr>
          <w:p w14:paraId="1F90B0F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50,000.00 </w:t>
            </w:r>
          </w:p>
        </w:tc>
      </w:tr>
      <w:tr w14:paraId="580CF04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23755E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FE7D0E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B461CE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BCF0AA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0D9835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3914B9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5C6A5B6">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036B0EF8">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3D29E988">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SURFACE WATER DRAINAGE &amp; GRASSING</w:t>
            </w:r>
          </w:p>
        </w:tc>
        <w:tc>
          <w:tcPr>
            <w:tcW w:w="960" w:type="dxa"/>
            <w:tcBorders>
              <w:top w:val="nil"/>
              <w:left w:val="nil"/>
              <w:bottom w:val="single" w:color="auto" w:sz="4" w:space="0"/>
              <w:right w:val="single" w:color="auto" w:sz="4" w:space="0"/>
            </w:tcBorders>
          </w:tcPr>
          <w:p w14:paraId="0BF0CB0B">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2FAA27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DAD124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3A32B7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8CA54A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0CFDCC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3156B2B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611DA5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5F1EB4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3CDB30E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FEFACF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97DA1A6">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51F0A0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2D06339">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Earth Drains (Provisional)</w:t>
            </w:r>
          </w:p>
        </w:tc>
        <w:tc>
          <w:tcPr>
            <w:tcW w:w="960" w:type="dxa"/>
            <w:tcBorders>
              <w:top w:val="nil"/>
              <w:left w:val="nil"/>
              <w:bottom w:val="single" w:color="auto" w:sz="4" w:space="0"/>
              <w:right w:val="single" w:color="auto" w:sz="4" w:space="0"/>
            </w:tcBorders>
          </w:tcPr>
          <w:p w14:paraId="0F7B296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2F0D20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BB727F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C8445F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15CBA76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3AF33B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035F1E1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31122F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376CDF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FC9841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60DCE86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D7048D0">
        <w:tblPrEx>
          <w:tblCellMar>
            <w:top w:w="0" w:type="dxa"/>
            <w:left w:w="108" w:type="dxa"/>
            <w:bottom w:w="0" w:type="dxa"/>
            <w:right w:w="108" w:type="dxa"/>
          </w:tblCellMar>
        </w:tblPrEx>
        <w:trPr>
          <w:trHeight w:val="2295" w:hRule="atLeast"/>
        </w:trPr>
        <w:tc>
          <w:tcPr>
            <w:tcW w:w="576" w:type="dxa"/>
            <w:tcBorders>
              <w:top w:val="nil"/>
              <w:left w:val="single" w:color="auto" w:sz="8" w:space="0"/>
              <w:bottom w:val="single" w:color="auto" w:sz="4" w:space="0"/>
              <w:right w:val="single" w:color="auto" w:sz="4" w:space="0"/>
            </w:tcBorders>
          </w:tcPr>
          <w:p w14:paraId="40E2164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14.7</w:t>
            </w:r>
          </w:p>
        </w:tc>
        <w:tc>
          <w:tcPr>
            <w:tcW w:w="3144" w:type="dxa"/>
            <w:tcBorders>
              <w:top w:val="nil"/>
              <w:left w:val="nil"/>
              <w:bottom w:val="single" w:color="auto" w:sz="4" w:space="0"/>
              <w:right w:val="single" w:color="auto" w:sz="4" w:space="0"/>
            </w:tcBorders>
          </w:tcPr>
          <w:p w14:paraId="3C7D5EEF">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Excavate trapezoidal earth drains type 1 as shown on  per the standard drawings to the lines and levels directed by the Engineer. Allow for trimming of sides to correct slopes and cart excavated material to tips. Depth to invert n.e. 1.0m </w:t>
            </w:r>
          </w:p>
        </w:tc>
        <w:tc>
          <w:tcPr>
            <w:tcW w:w="960" w:type="dxa"/>
            <w:tcBorders>
              <w:top w:val="nil"/>
              <w:left w:val="nil"/>
              <w:bottom w:val="single" w:color="auto" w:sz="4" w:space="0"/>
              <w:right w:val="single" w:color="auto" w:sz="4" w:space="0"/>
            </w:tcBorders>
          </w:tcPr>
          <w:p w14:paraId="30AFD90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6526CCF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10</w:t>
            </w:r>
          </w:p>
        </w:tc>
        <w:tc>
          <w:tcPr>
            <w:tcW w:w="1900" w:type="dxa"/>
            <w:tcBorders>
              <w:top w:val="nil"/>
              <w:left w:val="nil"/>
              <w:bottom w:val="single" w:color="auto" w:sz="4" w:space="0"/>
              <w:right w:val="single" w:color="auto" w:sz="4" w:space="0"/>
            </w:tcBorders>
          </w:tcPr>
          <w:p w14:paraId="1C91381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325.00 </w:t>
            </w:r>
          </w:p>
        </w:tc>
        <w:tc>
          <w:tcPr>
            <w:tcW w:w="1806" w:type="dxa"/>
            <w:tcBorders>
              <w:top w:val="nil"/>
              <w:left w:val="nil"/>
              <w:bottom w:val="single" w:color="auto" w:sz="4" w:space="0"/>
              <w:right w:val="single" w:color="auto" w:sz="8" w:space="0"/>
            </w:tcBorders>
          </w:tcPr>
          <w:p w14:paraId="0A2235A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3,250.00 </w:t>
            </w:r>
          </w:p>
        </w:tc>
      </w:tr>
      <w:tr w14:paraId="79BFF75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7A63FE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7FEE9A2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F9C68B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E6AF8B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8D39D0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93B0F1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5646F8A3">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5480D81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14.8</w:t>
            </w:r>
          </w:p>
        </w:tc>
        <w:tc>
          <w:tcPr>
            <w:tcW w:w="3144" w:type="dxa"/>
            <w:tcBorders>
              <w:top w:val="nil"/>
              <w:left w:val="nil"/>
              <w:bottom w:val="single" w:color="auto" w:sz="4" w:space="0"/>
              <w:right w:val="single" w:color="auto" w:sz="4" w:space="0"/>
            </w:tcBorders>
          </w:tcPr>
          <w:p w14:paraId="6DEDC9A2">
            <w:pPr>
              <w:spacing w:line="240" w:lineRule="auto"/>
              <w:rPr>
                <w:rFonts w:ascii="Times New Roman" w:hAnsi="Times New Roman" w:eastAsia="Times New Roman"/>
                <w:sz w:val="16"/>
                <w:szCs w:val="16"/>
              </w:rPr>
            </w:pPr>
            <w:r>
              <w:rPr>
                <w:rFonts w:ascii="Times New Roman" w:hAnsi="Times New Roman" w:eastAsia="Times New Roman"/>
                <w:sz w:val="16"/>
                <w:szCs w:val="16"/>
              </w:rPr>
              <w:t>-Ditto- but depth to invert n.e. 2.0m</w:t>
            </w:r>
          </w:p>
        </w:tc>
        <w:tc>
          <w:tcPr>
            <w:tcW w:w="960" w:type="dxa"/>
            <w:tcBorders>
              <w:top w:val="nil"/>
              <w:left w:val="nil"/>
              <w:bottom w:val="single" w:color="auto" w:sz="4" w:space="0"/>
              <w:right w:val="single" w:color="auto" w:sz="4" w:space="0"/>
            </w:tcBorders>
          </w:tcPr>
          <w:p w14:paraId="565D344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50AC4FE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5</w:t>
            </w:r>
          </w:p>
        </w:tc>
        <w:tc>
          <w:tcPr>
            <w:tcW w:w="1900" w:type="dxa"/>
            <w:tcBorders>
              <w:top w:val="nil"/>
              <w:left w:val="nil"/>
              <w:bottom w:val="single" w:color="auto" w:sz="4" w:space="0"/>
              <w:right w:val="single" w:color="auto" w:sz="4" w:space="0"/>
            </w:tcBorders>
          </w:tcPr>
          <w:p w14:paraId="7D823A4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275.00 </w:t>
            </w:r>
          </w:p>
        </w:tc>
        <w:tc>
          <w:tcPr>
            <w:tcW w:w="1806" w:type="dxa"/>
            <w:tcBorders>
              <w:top w:val="nil"/>
              <w:left w:val="nil"/>
              <w:bottom w:val="single" w:color="auto" w:sz="4" w:space="0"/>
              <w:right w:val="single" w:color="auto" w:sz="8" w:space="0"/>
            </w:tcBorders>
          </w:tcPr>
          <w:p w14:paraId="08022B6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1,375.00 </w:t>
            </w:r>
          </w:p>
        </w:tc>
      </w:tr>
      <w:tr w14:paraId="2A51401B">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BBD5B3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A61D45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61C6C8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B7BEC6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C290D3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DEC38F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F9DC04C">
        <w:tblPrEx>
          <w:tblCellMar>
            <w:top w:w="0" w:type="dxa"/>
            <w:left w:w="108" w:type="dxa"/>
            <w:bottom w:w="0" w:type="dxa"/>
            <w:right w:w="108" w:type="dxa"/>
          </w:tblCellMar>
        </w:tblPrEx>
        <w:trPr>
          <w:trHeight w:val="1530" w:hRule="atLeast"/>
        </w:trPr>
        <w:tc>
          <w:tcPr>
            <w:tcW w:w="576" w:type="dxa"/>
            <w:tcBorders>
              <w:top w:val="nil"/>
              <w:left w:val="single" w:color="auto" w:sz="8" w:space="0"/>
              <w:bottom w:val="single" w:color="auto" w:sz="4" w:space="0"/>
              <w:right w:val="single" w:color="auto" w:sz="4" w:space="0"/>
            </w:tcBorders>
          </w:tcPr>
          <w:p w14:paraId="0A151B6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14.9</w:t>
            </w:r>
          </w:p>
        </w:tc>
        <w:tc>
          <w:tcPr>
            <w:tcW w:w="3144" w:type="dxa"/>
            <w:tcBorders>
              <w:top w:val="nil"/>
              <w:left w:val="nil"/>
              <w:bottom w:val="single" w:color="auto" w:sz="4" w:space="0"/>
              <w:right w:val="single" w:color="auto" w:sz="4" w:space="0"/>
            </w:tcBorders>
          </w:tcPr>
          <w:p w14:paraId="66C854B1">
            <w:pPr>
              <w:spacing w:line="240" w:lineRule="auto"/>
              <w:rPr>
                <w:rFonts w:ascii="Times New Roman" w:hAnsi="Times New Roman" w:eastAsia="Times New Roman"/>
                <w:sz w:val="16"/>
                <w:szCs w:val="16"/>
              </w:rPr>
            </w:pPr>
            <w:r>
              <w:rPr>
                <w:rFonts w:ascii="Times New Roman" w:hAnsi="Times New Roman" w:eastAsia="Times New Roman"/>
                <w:sz w:val="16"/>
                <w:szCs w:val="16"/>
              </w:rPr>
              <w:t>Provide and spread 100mm of approved top soil on the base of sides of the earth drain, rake and level to the requried profiles as directed by the Engineer (Provisional)</w:t>
            </w:r>
          </w:p>
        </w:tc>
        <w:tc>
          <w:tcPr>
            <w:tcW w:w="960" w:type="dxa"/>
            <w:tcBorders>
              <w:top w:val="nil"/>
              <w:left w:val="nil"/>
              <w:bottom w:val="single" w:color="auto" w:sz="4" w:space="0"/>
              <w:right w:val="single" w:color="auto" w:sz="4" w:space="0"/>
            </w:tcBorders>
          </w:tcPr>
          <w:p w14:paraId="2E65FF3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19FBBC1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20</w:t>
            </w:r>
          </w:p>
        </w:tc>
        <w:tc>
          <w:tcPr>
            <w:tcW w:w="1900" w:type="dxa"/>
            <w:tcBorders>
              <w:top w:val="nil"/>
              <w:left w:val="nil"/>
              <w:bottom w:val="single" w:color="auto" w:sz="4" w:space="0"/>
              <w:right w:val="single" w:color="auto" w:sz="4" w:space="0"/>
            </w:tcBorders>
          </w:tcPr>
          <w:p w14:paraId="696A93A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85.00 </w:t>
            </w:r>
          </w:p>
        </w:tc>
        <w:tc>
          <w:tcPr>
            <w:tcW w:w="1806" w:type="dxa"/>
            <w:tcBorders>
              <w:top w:val="nil"/>
              <w:left w:val="nil"/>
              <w:bottom w:val="single" w:color="auto" w:sz="4" w:space="0"/>
              <w:right w:val="single" w:color="auto" w:sz="8" w:space="0"/>
            </w:tcBorders>
          </w:tcPr>
          <w:p w14:paraId="38AFE981">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1,700.00 </w:t>
            </w:r>
          </w:p>
        </w:tc>
      </w:tr>
      <w:tr w14:paraId="609CD2D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1E6F38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41A878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8CDD9C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C276BD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F6045A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B5D2D3A">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34EB26B">
        <w:tblPrEx>
          <w:tblCellMar>
            <w:top w:w="0" w:type="dxa"/>
            <w:left w:w="108" w:type="dxa"/>
            <w:bottom w:w="0" w:type="dxa"/>
            <w:right w:w="108" w:type="dxa"/>
          </w:tblCellMar>
        </w:tblPrEx>
        <w:trPr>
          <w:trHeight w:val="1530" w:hRule="atLeast"/>
        </w:trPr>
        <w:tc>
          <w:tcPr>
            <w:tcW w:w="576" w:type="dxa"/>
            <w:tcBorders>
              <w:top w:val="nil"/>
              <w:left w:val="single" w:color="auto" w:sz="8" w:space="0"/>
              <w:bottom w:val="single" w:color="auto" w:sz="4" w:space="0"/>
              <w:right w:val="single" w:color="auto" w:sz="4" w:space="0"/>
            </w:tcBorders>
          </w:tcPr>
          <w:p w14:paraId="7B50D0C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14.10</w:t>
            </w:r>
          </w:p>
        </w:tc>
        <w:tc>
          <w:tcPr>
            <w:tcW w:w="3144" w:type="dxa"/>
            <w:tcBorders>
              <w:top w:val="nil"/>
              <w:left w:val="nil"/>
              <w:bottom w:val="single" w:color="auto" w:sz="4" w:space="0"/>
              <w:right w:val="single" w:color="auto" w:sz="4" w:space="0"/>
            </w:tcBorders>
          </w:tcPr>
          <w:p w14:paraId="666734BE">
            <w:pPr>
              <w:spacing w:line="240" w:lineRule="auto"/>
              <w:rPr>
                <w:rFonts w:ascii="Times New Roman" w:hAnsi="Times New Roman" w:eastAsia="Times New Roman"/>
                <w:sz w:val="16"/>
                <w:szCs w:val="16"/>
              </w:rPr>
            </w:pPr>
            <w:r>
              <w:rPr>
                <w:rFonts w:ascii="Times New Roman" w:hAnsi="Times New Roman" w:eastAsia="Times New Roman"/>
                <w:sz w:val="16"/>
                <w:szCs w:val="16"/>
              </w:rPr>
              <w:t>Supply and plant approved grass on base and sides of the earth drain and maintenance until it takes root to the satisfaction of the Engineer (Provisional)</w:t>
            </w:r>
          </w:p>
        </w:tc>
        <w:tc>
          <w:tcPr>
            <w:tcW w:w="960" w:type="dxa"/>
            <w:tcBorders>
              <w:top w:val="nil"/>
              <w:left w:val="nil"/>
              <w:bottom w:val="single" w:color="auto" w:sz="4" w:space="0"/>
              <w:right w:val="single" w:color="auto" w:sz="4" w:space="0"/>
            </w:tcBorders>
          </w:tcPr>
          <w:p w14:paraId="205F48F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02802EAA">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20</w:t>
            </w:r>
          </w:p>
        </w:tc>
        <w:tc>
          <w:tcPr>
            <w:tcW w:w="1900" w:type="dxa"/>
            <w:tcBorders>
              <w:top w:val="nil"/>
              <w:left w:val="nil"/>
              <w:bottom w:val="single" w:color="auto" w:sz="4" w:space="0"/>
              <w:right w:val="single" w:color="auto" w:sz="4" w:space="0"/>
            </w:tcBorders>
          </w:tcPr>
          <w:p w14:paraId="0A8AE2F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50.00 </w:t>
            </w:r>
          </w:p>
        </w:tc>
        <w:tc>
          <w:tcPr>
            <w:tcW w:w="1806" w:type="dxa"/>
            <w:tcBorders>
              <w:top w:val="nil"/>
              <w:left w:val="nil"/>
              <w:bottom w:val="single" w:color="auto" w:sz="4" w:space="0"/>
              <w:right w:val="single" w:color="auto" w:sz="8" w:space="0"/>
            </w:tcBorders>
          </w:tcPr>
          <w:p w14:paraId="0D30C6FE">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1,000.00 </w:t>
            </w:r>
          </w:p>
        </w:tc>
      </w:tr>
      <w:tr w14:paraId="7B76E935">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D1F674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8C9C86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01A582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DB3F11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B349F9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CDAA849">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5AD1B6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BDD9DA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1FF5CBD6">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 xml:space="preserve">Culvert Pipes </w:t>
            </w:r>
          </w:p>
        </w:tc>
        <w:tc>
          <w:tcPr>
            <w:tcW w:w="960" w:type="dxa"/>
            <w:tcBorders>
              <w:top w:val="nil"/>
              <w:left w:val="nil"/>
              <w:bottom w:val="single" w:color="auto" w:sz="4" w:space="0"/>
              <w:right w:val="single" w:color="auto" w:sz="4" w:space="0"/>
            </w:tcBorders>
          </w:tcPr>
          <w:p w14:paraId="3399A51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860113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08824AD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97E19B6">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01EA99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D0138C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2EBF58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4136D73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FEC3CE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54E8C8B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01694F9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7563CFA1">
        <w:tblPrEx>
          <w:tblCellMar>
            <w:top w:w="0" w:type="dxa"/>
            <w:left w:w="108" w:type="dxa"/>
            <w:bottom w:w="0" w:type="dxa"/>
            <w:right w:w="108" w:type="dxa"/>
          </w:tblCellMar>
        </w:tblPrEx>
        <w:trPr>
          <w:trHeight w:val="2040" w:hRule="atLeast"/>
        </w:trPr>
        <w:tc>
          <w:tcPr>
            <w:tcW w:w="576" w:type="dxa"/>
            <w:tcBorders>
              <w:top w:val="nil"/>
              <w:left w:val="single" w:color="auto" w:sz="8" w:space="0"/>
              <w:bottom w:val="single" w:color="auto" w:sz="4" w:space="0"/>
              <w:right w:val="single" w:color="auto" w:sz="4" w:space="0"/>
            </w:tcBorders>
          </w:tcPr>
          <w:p w14:paraId="735D1B5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14.11</w:t>
            </w:r>
          </w:p>
        </w:tc>
        <w:tc>
          <w:tcPr>
            <w:tcW w:w="3144" w:type="dxa"/>
            <w:tcBorders>
              <w:top w:val="nil"/>
              <w:left w:val="nil"/>
              <w:bottom w:val="single" w:color="auto" w:sz="4" w:space="0"/>
              <w:right w:val="single" w:color="auto" w:sz="4" w:space="0"/>
            </w:tcBorders>
          </w:tcPr>
          <w:p w14:paraId="55EEA5DB">
            <w:pPr>
              <w:spacing w:line="240" w:lineRule="auto"/>
              <w:rPr>
                <w:rFonts w:ascii="Times New Roman" w:hAnsi="Times New Roman" w:eastAsia="Times New Roman"/>
                <w:sz w:val="16"/>
                <w:szCs w:val="16"/>
              </w:rPr>
            </w:pPr>
            <w:r>
              <w:rPr>
                <w:rFonts w:ascii="Times New Roman" w:hAnsi="Times New Roman" w:eastAsia="Times New Roman"/>
                <w:sz w:val="16"/>
                <w:szCs w:val="16"/>
              </w:rPr>
              <w:t>Excavate trench depth n.e. 2.5 m, supply, lay and joint for 525mm diameter precast concrete ogee pipes including concrete surround, backfill after laying of pipes, compact and cart away surplus material to tips</w:t>
            </w:r>
          </w:p>
        </w:tc>
        <w:tc>
          <w:tcPr>
            <w:tcW w:w="960" w:type="dxa"/>
            <w:tcBorders>
              <w:top w:val="nil"/>
              <w:left w:val="nil"/>
              <w:bottom w:val="single" w:color="auto" w:sz="4" w:space="0"/>
              <w:right w:val="single" w:color="auto" w:sz="4" w:space="0"/>
            </w:tcBorders>
          </w:tcPr>
          <w:p w14:paraId="3F5DA6E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p>
        </w:tc>
        <w:tc>
          <w:tcPr>
            <w:tcW w:w="960" w:type="dxa"/>
            <w:tcBorders>
              <w:top w:val="nil"/>
              <w:left w:val="nil"/>
              <w:bottom w:val="single" w:color="auto" w:sz="4" w:space="0"/>
              <w:right w:val="single" w:color="auto" w:sz="4" w:space="0"/>
            </w:tcBorders>
          </w:tcPr>
          <w:p w14:paraId="06D834A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6</w:t>
            </w:r>
          </w:p>
        </w:tc>
        <w:tc>
          <w:tcPr>
            <w:tcW w:w="1900" w:type="dxa"/>
            <w:tcBorders>
              <w:top w:val="nil"/>
              <w:left w:val="nil"/>
              <w:bottom w:val="single" w:color="auto" w:sz="4" w:space="0"/>
              <w:right w:val="single" w:color="auto" w:sz="4" w:space="0"/>
            </w:tcBorders>
          </w:tcPr>
          <w:p w14:paraId="2F678FA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4,500.00 </w:t>
            </w:r>
          </w:p>
        </w:tc>
        <w:tc>
          <w:tcPr>
            <w:tcW w:w="1806" w:type="dxa"/>
            <w:tcBorders>
              <w:top w:val="nil"/>
              <w:left w:val="nil"/>
              <w:bottom w:val="single" w:color="auto" w:sz="4" w:space="0"/>
              <w:right w:val="single" w:color="auto" w:sz="8" w:space="0"/>
            </w:tcBorders>
          </w:tcPr>
          <w:p w14:paraId="32FED5F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27,000.00 </w:t>
            </w:r>
          </w:p>
        </w:tc>
      </w:tr>
      <w:tr w14:paraId="7DBB9E52">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1213E5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36143F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579CCC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CB0B00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15EB57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9639E4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F84C90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1B5A74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0E00405">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Headwalls</w:t>
            </w:r>
          </w:p>
        </w:tc>
        <w:tc>
          <w:tcPr>
            <w:tcW w:w="960" w:type="dxa"/>
            <w:tcBorders>
              <w:top w:val="nil"/>
              <w:left w:val="nil"/>
              <w:bottom w:val="single" w:color="auto" w:sz="4" w:space="0"/>
              <w:right w:val="single" w:color="auto" w:sz="4" w:space="0"/>
            </w:tcBorders>
          </w:tcPr>
          <w:p w14:paraId="3D0725D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6442DE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0A2E87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4BCF16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7B3CAE8">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421645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0124F9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985323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5E475A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28830D8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6AB60F7">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3F1504B2">
        <w:tblPrEx>
          <w:tblCellMar>
            <w:top w:w="0" w:type="dxa"/>
            <w:left w:w="108" w:type="dxa"/>
            <w:bottom w:w="0" w:type="dxa"/>
            <w:right w:w="108" w:type="dxa"/>
          </w:tblCellMar>
        </w:tblPrEx>
        <w:trPr>
          <w:trHeight w:val="1785" w:hRule="atLeast"/>
        </w:trPr>
        <w:tc>
          <w:tcPr>
            <w:tcW w:w="576" w:type="dxa"/>
            <w:tcBorders>
              <w:top w:val="nil"/>
              <w:left w:val="single" w:color="auto" w:sz="8" w:space="0"/>
              <w:bottom w:val="single" w:color="auto" w:sz="4" w:space="0"/>
              <w:right w:val="single" w:color="auto" w:sz="4" w:space="0"/>
            </w:tcBorders>
          </w:tcPr>
          <w:p w14:paraId="077C04B2">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14.12</w:t>
            </w:r>
          </w:p>
        </w:tc>
        <w:tc>
          <w:tcPr>
            <w:tcW w:w="3144" w:type="dxa"/>
            <w:tcBorders>
              <w:top w:val="nil"/>
              <w:left w:val="nil"/>
              <w:bottom w:val="single" w:color="auto" w:sz="4" w:space="0"/>
              <w:right w:val="single" w:color="auto" w:sz="4" w:space="0"/>
            </w:tcBorders>
          </w:tcPr>
          <w:p w14:paraId="3BCCCF0C">
            <w:pPr>
              <w:spacing w:line="240" w:lineRule="auto"/>
              <w:rPr>
                <w:rFonts w:ascii="Times New Roman" w:hAnsi="Times New Roman" w:eastAsia="Times New Roman"/>
                <w:sz w:val="16"/>
                <w:szCs w:val="16"/>
              </w:rPr>
            </w:pPr>
            <w:r>
              <w:rPr>
                <w:rFonts w:ascii="Times New Roman" w:hAnsi="Times New Roman" w:eastAsia="Times New Roman"/>
                <w:sz w:val="16"/>
                <w:szCs w:val="16"/>
              </w:rPr>
              <w:t>Excavate for, provide all materials and construct 225 mm thick masonry headwalls including concrete Class 15/20 footings, all in accordance with standard drawings.</w:t>
            </w:r>
          </w:p>
        </w:tc>
        <w:tc>
          <w:tcPr>
            <w:tcW w:w="960" w:type="dxa"/>
            <w:tcBorders>
              <w:top w:val="nil"/>
              <w:left w:val="nil"/>
              <w:bottom w:val="single" w:color="auto" w:sz="4" w:space="0"/>
              <w:right w:val="single" w:color="auto" w:sz="4" w:space="0"/>
            </w:tcBorders>
          </w:tcPr>
          <w:p w14:paraId="3B2FC38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326D909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2</w:t>
            </w:r>
          </w:p>
        </w:tc>
        <w:tc>
          <w:tcPr>
            <w:tcW w:w="1900" w:type="dxa"/>
            <w:tcBorders>
              <w:top w:val="nil"/>
              <w:left w:val="nil"/>
              <w:bottom w:val="single" w:color="auto" w:sz="4" w:space="0"/>
              <w:right w:val="single" w:color="auto" w:sz="4" w:space="0"/>
            </w:tcBorders>
          </w:tcPr>
          <w:p w14:paraId="3050328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2,500.00 </w:t>
            </w:r>
          </w:p>
        </w:tc>
        <w:tc>
          <w:tcPr>
            <w:tcW w:w="1806" w:type="dxa"/>
            <w:tcBorders>
              <w:top w:val="nil"/>
              <w:left w:val="nil"/>
              <w:bottom w:val="single" w:color="auto" w:sz="4" w:space="0"/>
              <w:right w:val="single" w:color="auto" w:sz="8" w:space="0"/>
            </w:tcBorders>
          </w:tcPr>
          <w:p w14:paraId="0FAEC700">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5,000.00 </w:t>
            </w:r>
          </w:p>
        </w:tc>
      </w:tr>
      <w:tr w14:paraId="1FFF002F">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2461F54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D0AC19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0B184D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540F9E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8C0D53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38BF5A7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2D3F42C">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14B6BEA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41BBD8C4">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Grassing</w:t>
            </w:r>
          </w:p>
        </w:tc>
        <w:tc>
          <w:tcPr>
            <w:tcW w:w="960" w:type="dxa"/>
            <w:tcBorders>
              <w:top w:val="nil"/>
              <w:left w:val="nil"/>
              <w:bottom w:val="single" w:color="auto" w:sz="4" w:space="0"/>
              <w:right w:val="single" w:color="auto" w:sz="4" w:space="0"/>
            </w:tcBorders>
          </w:tcPr>
          <w:p w14:paraId="5E77AC7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0206C8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6F1722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7B62C7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9E07AA1">
        <w:tblPrEx>
          <w:tblCellMar>
            <w:top w:w="0" w:type="dxa"/>
            <w:left w:w="108" w:type="dxa"/>
            <w:bottom w:w="0" w:type="dxa"/>
            <w:right w:w="108" w:type="dxa"/>
          </w:tblCellMar>
        </w:tblPrEx>
        <w:trPr>
          <w:trHeight w:val="3315" w:hRule="atLeast"/>
        </w:trPr>
        <w:tc>
          <w:tcPr>
            <w:tcW w:w="576" w:type="dxa"/>
            <w:tcBorders>
              <w:top w:val="nil"/>
              <w:left w:val="single" w:color="auto" w:sz="8" w:space="0"/>
              <w:bottom w:val="single" w:color="auto" w:sz="4" w:space="0"/>
              <w:right w:val="single" w:color="auto" w:sz="4" w:space="0"/>
            </w:tcBorders>
          </w:tcPr>
          <w:p w14:paraId="184AFEE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14.13</w:t>
            </w:r>
          </w:p>
        </w:tc>
        <w:tc>
          <w:tcPr>
            <w:tcW w:w="3144" w:type="dxa"/>
            <w:tcBorders>
              <w:top w:val="nil"/>
              <w:left w:val="nil"/>
              <w:bottom w:val="single" w:color="auto" w:sz="4" w:space="0"/>
              <w:right w:val="single" w:color="auto" w:sz="4" w:space="0"/>
            </w:tcBorders>
          </w:tcPr>
          <w:p w14:paraId="102178E7">
            <w:pPr>
              <w:spacing w:line="240" w:lineRule="auto"/>
              <w:rPr>
                <w:rFonts w:ascii="Times New Roman" w:hAnsi="Times New Roman" w:eastAsia="Times New Roman"/>
                <w:sz w:val="16"/>
                <w:szCs w:val="16"/>
              </w:rPr>
            </w:pPr>
            <w:r>
              <w:rPr>
                <w:rFonts w:ascii="Times New Roman" w:hAnsi="Times New Roman" w:eastAsia="Times New Roman"/>
                <w:sz w:val="16"/>
                <w:szCs w:val="16"/>
              </w:rPr>
              <w:t>Spread Top Soil stacked on site (under item 1.3) in 100mm layers as directed, level and compact (light compaction) and prepare ready for grassing. Provide and plant approved grass and maintain until it takes root. The rate to include provision of manure approximate 0.01 kg per metre squared and spreading as directed by the Engineer</w:t>
            </w:r>
          </w:p>
        </w:tc>
        <w:tc>
          <w:tcPr>
            <w:tcW w:w="960" w:type="dxa"/>
            <w:tcBorders>
              <w:top w:val="nil"/>
              <w:left w:val="nil"/>
              <w:bottom w:val="single" w:color="auto" w:sz="4" w:space="0"/>
              <w:right w:val="single" w:color="auto" w:sz="4" w:space="0"/>
            </w:tcBorders>
          </w:tcPr>
          <w:p w14:paraId="6F27FB0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m</w:t>
            </w:r>
            <w:r>
              <w:rPr>
                <w:rFonts w:ascii="Times New Roman" w:hAnsi="Times New Roman" w:eastAsia="Times New Roman"/>
                <w:sz w:val="16"/>
                <w:szCs w:val="16"/>
                <w:vertAlign w:val="superscript"/>
              </w:rPr>
              <w:t>2</w:t>
            </w:r>
          </w:p>
        </w:tc>
        <w:tc>
          <w:tcPr>
            <w:tcW w:w="960" w:type="dxa"/>
            <w:tcBorders>
              <w:top w:val="nil"/>
              <w:left w:val="nil"/>
              <w:bottom w:val="single" w:color="auto" w:sz="4" w:space="0"/>
              <w:right w:val="single" w:color="auto" w:sz="4" w:space="0"/>
            </w:tcBorders>
          </w:tcPr>
          <w:p w14:paraId="6BD51AF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75</w:t>
            </w:r>
          </w:p>
        </w:tc>
        <w:tc>
          <w:tcPr>
            <w:tcW w:w="1900" w:type="dxa"/>
            <w:tcBorders>
              <w:top w:val="nil"/>
              <w:left w:val="nil"/>
              <w:bottom w:val="single" w:color="auto" w:sz="4" w:space="0"/>
              <w:right w:val="single" w:color="auto" w:sz="4" w:space="0"/>
            </w:tcBorders>
          </w:tcPr>
          <w:p w14:paraId="6978928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50.00 </w:t>
            </w:r>
          </w:p>
        </w:tc>
        <w:tc>
          <w:tcPr>
            <w:tcW w:w="1806" w:type="dxa"/>
            <w:tcBorders>
              <w:top w:val="nil"/>
              <w:left w:val="nil"/>
              <w:bottom w:val="single" w:color="auto" w:sz="4" w:space="0"/>
              <w:right w:val="single" w:color="auto" w:sz="8" w:space="0"/>
            </w:tcBorders>
          </w:tcPr>
          <w:p w14:paraId="519B322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3,750.00 </w:t>
            </w:r>
          </w:p>
        </w:tc>
      </w:tr>
      <w:tr w14:paraId="09D2ECC9">
        <w:tblPrEx>
          <w:tblCellMar>
            <w:top w:w="0" w:type="dxa"/>
            <w:left w:w="108" w:type="dxa"/>
            <w:bottom w:w="0" w:type="dxa"/>
            <w:right w:w="108" w:type="dxa"/>
          </w:tblCellMar>
        </w:tblPrEx>
        <w:trPr>
          <w:trHeight w:val="510" w:hRule="atLeast"/>
        </w:trPr>
        <w:tc>
          <w:tcPr>
            <w:tcW w:w="576" w:type="dxa"/>
            <w:tcBorders>
              <w:top w:val="nil"/>
              <w:left w:val="single" w:color="auto" w:sz="8" w:space="0"/>
              <w:bottom w:val="single" w:color="auto" w:sz="4" w:space="0"/>
              <w:right w:val="single" w:color="auto" w:sz="4" w:space="0"/>
            </w:tcBorders>
          </w:tcPr>
          <w:p w14:paraId="43CD589E">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37CD6EFB">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SITE AND ANCILLARY WORKS</w:t>
            </w:r>
          </w:p>
        </w:tc>
        <w:tc>
          <w:tcPr>
            <w:tcW w:w="960" w:type="dxa"/>
            <w:tcBorders>
              <w:top w:val="nil"/>
              <w:left w:val="nil"/>
              <w:bottom w:val="single" w:color="auto" w:sz="4" w:space="0"/>
              <w:right w:val="single" w:color="auto" w:sz="4" w:space="0"/>
            </w:tcBorders>
          </w:tcPr>
          <w:p w14:paraId="5F2754E5">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02F0BA80">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682F63CA">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7D142B6D">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424,300.00 </w:t>
            </w:r>
          </w:p>
        </w:tc>
      </w:tr>
      <w:tr w14:paraId="2B00CD23">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7BD29BF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9B6D88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569DA60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8F8605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B93FF9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27C0D03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4462357">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58CA748E">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15</w:t>
            </w:r>
          </w:p>
        </w:tc>
        <w:tc>
          <w:tcPr>
            <w:tcW w:w="3144" w:type="dxa"/>
            <w:tcBorders>
              <w:top w:val="nil"/>
              <w:left w:val="nil"/>
              <w:bottom w:val="single" w:color="auto" w:sz="4" w:space="0"/>
              <w:right w:val="single" w:color="auto" w:sz="4" w:space="0"/>
            </w:tcBorders>
          </w:tcPr>
          <w:p w14:paraId="69E6584E">
            <w:pPr>
              <w:spacing w:line="240" w:lineRule="auto"/>
              <w:rPr>
                <w:rFonts w:ascii="Times New Roman" w:hAnsi="Times New Roman" w:eastAsia="Times New Roman"/>
                <w:b/>
                <w:bCs/>
                <w:sz w:val="16"/>
                <w:szCs w:val="16"/>
                <w:u w:val="single"/>
              </w:rPr>
            </w:pPr>
            <w:r>
              <w:rPr>
                <w:rFonts w:ascii="Times New Roman" w:hAnsi="Times New Roman" w:eastAsia="Times New Roman"/>
                <w:b/>
                <w:bCs/>
                <w:sz w:val="16"/>
                <w:szCs w:val="16"/>
                <w:u w:val="single"/>
              </w:rPr>
              <w:t>MISCELLANEOUS</w:t>
            </w:r>
          </w:p>
        </w:tc>
        <w:tc>
          <w:tcPr>
            <w:tcW w:w="960" w:type="dxa"/>
            <w:tcBorders>
              <w:top w:val="nil"/>
              <w:left w:val="nil"/>
              <w:bottom w:val="single" w:color="auto" w:sz="4" w:space="0"/>
              <w:right w:val="single" w:color="auto" w:sz="4" w:space="0"/>
            </w:tcBorders>
          </w:tcPr>
          <w:p w14:paraId="44D697AE">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7785C4E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1DFB1D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5DB5D8A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03B214EA">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31C686D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82EBAF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23C79B0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B933AB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1A3FD91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1E782F0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271DE578">
        <w:tblPrEx>
          <w:tblCellMar>
            <w:top w:w="0" w:type="dxa"/>
            <w:left w:w="108" w:type="dxa"/>
            <w:bottom w:w="0" w:type="dxa"/>
            <w:right w:w="108" w:type="dxa"/>
          </w:tblCellMar>
        </w:tblPrEx>
        <w:trPr>
          <w:trHeight w:val="3060" w:hRule="atLeast"/>
        </w:trPr>
        <w:tc>
          <w:tcPr>
            <w:tcW w:w="576" w:type="dxa"/>
            <w:tcBorders>
              <w:top w:val="nil"/>
              <w:left w:val="single" w:color="auto" w:sz="8" w:space="0"/>
              <w:bottom w:val="single" w:color="auto" w:sz="4" w:space="0"/>
              <w:right w:val="single" w:color="auto" w:sz="4" w:space="0"/>
            </w:tcBorders>
          </w:tcPr>
          <w:p w14:paraId="61D90CE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15.1</w:t>
            </w:r>
          </w:p>
        </w:tc>
        <w:tc>
          <w:tcPr>
            <w:tcW w:w="3144" w:type="dxa"/>
            <w:tcBorders>
              <w:top w:val="nil"/>
              <w:left w:val="nil"/>
              <w:bottom w:val="single" w:color="auto" w:sz="4" w:space="0"/>
              <w:right w:val="single" w:color="auto" w:sz="4" w:space="0"/>
            </w:tcBorders>
          </w:tcPr>
          <w:p w14:paraId="5ED0E716">
            <w:pPr>
              <w:spacing w:line="240" w:lineRule="auto"/>
              <w:rPr>
                <w:rFonts w:ascii="Times New Roman" w:hAnsi="Times New Roman" w:eastAsia="Times New Roman"/>
                <w:sz w:val="16"/>
                <w:szCs w:val="16"/>
              </w:rPr>
            </w:pPr>
            <w:r>
              <w:rPr>
                <w:rFonts w:ascii="Times New Roman" w:hAnsi="Times New Roman" w:eastAsia="Times New Roman"/>
                <w:sz w:val="16"/>
                <w:szCs w:val="16"/>
              </w:rPr>
              <w:t>Provide and erect signboards as detailed on  per the standard drawings. Include for painting, decorating and anchoring of the signboard to the ground using 300mm x 300mm x 600mm deep mass concrete footing, all as detailed. Note: Final wording on signboard to be decided in consultation with the Employer.</w:t>
            </w:r>
          </w:p>
        </w:tc>
        <w:tc>
          <w:tcPr>
            <w:tcW w:w="960" w:type="dxa"/>
            <w:tcBorders>
              <w:top w:val="nil"/>
              <w:left w:val="nil"/>
              <w:bottom w:val="single" w:color="auto" w:sz="4" w:space="0"/>
              <w:right w:val="single" w:color="auto" w:sz="4" w:space="0"/>
            </w:tcBorders>
          </w:tcPr>
          <w:p w14:paraId="0F3E29C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Nr</w:t>
            </w:r>
          </w:p>
        </w:tc>
        <w:tc>
          <w:tcPr>
            <w:tcW w:w="960" w:type="dxa"/>
            <w:tcBorders>
              <w:top w:val="nil"/>
              <w:left w:val="nil"/>
              <w:bottom w:val="single" w:color="auto" w:sz="4" w:space="0"/>
              <w:right w:val="single" w:color="auto" w:sz="4" w:space="0"/>
            </w:tcBorders>
          </w:tcPr>
          <w:p w14:paraId="5ED5C1F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w:t>
            </w:r>
          </w:p>
        </w:tc>
        <w:tc>
          <w:tcPr>
            <w:tcW w:w="1900" w:type="dxa"/>
            <w:tcBorders>
              <w:top w:val="nil"/>
              <w:left w:val="nil"/>
              <w:bottom w:val="single" w:color="auto" w:sz="4" w:space="0"/>
              <w:right w:val="single" w:color="auto" w:sz="4" w:space="0"/>
            </w:tcBorders>
          </w:tcPr>
          <w:p w14:paraId="497FC2B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12,500.00 </w:t>
            </w:r>
          </w:p>
        </w:tc>
        <w:tc>
          <w:tcPr>
            <w:tcW w:w="1806" w:type="dxa"/>
            <w:tcBorders>
              <w:top w:val="nil"/>
              <w:left w:val="nil"/>
              <w:bottom w:val="single" w:color="auto" w:sz="4" w:space="0"/>
              <w:right w:val="single" w:color="auto" w:sz="8" w:space="0"/>
            </w:tcBorders>
          </w:tcPr>
          <w:p w14:paraId="455D4B48">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12,500.00 </w:t>
            </w:r>
          </w:p>
        </w:tc>
      </w:tr>
      <w:tr w14:paraId="4BF5C7C9">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40F8FE0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2B36B07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6C1D394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382AFD0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643AFEF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4655283F">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4FC9DE4C">
        <w:tblPrEx>
          <w:tblCellMar>
            <w:top w:w="0" w:type="dxa"/>
            <w:left w:w="108" w:type="dxa"/>
            <w:bottom w:w="0" w:type="dxa"/>
            <w:right w:w="108" w:type="dxa"/>
          </w:tblCellMar>
        </w:tblPrEx>
        <w:trPr>
          <w:trHeight w:val="1275" w:hRule="atLeast"/>
        </w:trPr>
        <w:tc>
          <w:tcPr>
            <w:tcW w:w="576" w:type="dxa"/>
            <w:tcBorders>
              <w:top w:val="nil"/>
              <w:left w:val="single" w:color="auto" w:sz="8" w:space="0"/>
              <w:bottom w:val="single" w:color="auto" w:sz="4" w:space="0"/>
              <w:right w:val="single" w:color="auto" w:sz="4" w:space="0"/>
            </w:tcBorders>
          </w:tcPr>
          <w:p w14:paraId="2EFE4E20">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15.2</w:t>
            </w:r>
          </w:p>
        </w:tc>
        <w:tc>
          <w:tcPr>
            <w:tcW w:w="3144" w:type="dxa"/>
            <w:tcBorders>
              <w:top w:val="nil"/>
              <w:left w:val="nil"/>
              <w:bottom w:val="single" w:color="auto" w:sz="4" w:space="0"/>
              <w:right w:val="single" w:color="auto" w:sz="4" w:space="0"/>
            </w:tcBorders>
          </w:tcPr>
          <w:p w14:paraId="6D07EEE0">
            <w:pPr>
              <w:spacing w:line="240" w:lineRule="auto"/>
              <w:rPr>
                <w:rFonts w:ascii="Times New Roman" w:hAnsi="Times New Roman" w:eastAsia="Times New Roman"/>
                <w:sz w:val="16"/>
                <w:szCs w:val="16"/>
              </w:rPr>
            </w:pPr>
            <w:r>
              <w:rPr>
                <w:rFonts w:ascii="Times New Roman" w:hAnsi="Times New Roman" w:eastAsia="Times New Roman"/>
                <w:sz w:val="16"/>
                <w:szCs w:val="16"/>
              </w:rPr>
              <w:t>Allow a Provisional Sum of Kshs. 130,000 for provision and installation of furniture for the Ablution Block Office including cleaning Equipment.</w:t>
            </w:r>
          </w:p>
        </w:tc>
        <w:tc>
          <w:tcPr>
            <w:tcW w:w="960" w:type="dxa"/>
            <w:tcBorders>
              <w:top w:val="nil"/>
              <w:left w:val="nil"/>
              <w:bottom w:val="single" w:color="auto" w:sz="4" w:space="0"/>
              <w:right w:val="single" w:color="auto" w:sz="4" w:space="0"/>
            </w:tcBorders>
          </w:tcPr>
          <w:p w14:paraId="6463EBA1">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Item</w:t>
            </w:r>
          </w:p>
        </w:tc>
        <w:tc>
          <w:tcPr>
            <w:tcW w:w="960" w:type="dxa"/>
            <w:tcBorders>
              <w:top w:val="nil"/>
              <w:left w:val="nil"/>
              <w:bottom w:val="single" w:color="auto" w:sz="4" w:space="0"/>
              <w:right w:val="single" w:color="auto" w:sz="4" w:space="0"/>
            </w:tcBorders>
          </w:tcPr>
          <w:p w14:paraId="68535AD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P.S</w:t>
            </w:r>
          </w:p>
        </w:tc>
        <w:tc>
          <w:tcPr>
            <w:tcW w:w="1900" w:type="dxa"/>
            <w:tcBorders>
              <w:top w:val="nil"/>
              <w:left w:val="nil"/>
              <w:bottom w:val="single" w:color="auto" w:sz="4" w:space="0"/>
              <w:right w:val="single" w:color="auto" w:sz="4" w:space="0"/>
            </w:tcBorders>
          </w:tcPr>
          <w:p w14:paraId="60D03A99">
            <w:pPr>
              <w:spacing w:line="240" w:lineRule="auto"/>
              <w:rPr>
                <w:rFonts w:ascii="Times New Roman" w:hAnsi="Times New Roman" w:eastAsia="Times New Roman"/>
                <w:sz w:val="16"/>
                <w:szCs w:val="16"/>
              </w:rPr>
            </w:pPr>
            <w:r>
              <w:rPr>
                <w:rFonts w:ascii="Times New Roman" w:hAnsi="Times New Roman" w:eastAsia="Times New Roman"/>
                <w:sz w:val="16"/>
                <w:szCs w:val="16"/>
              </w:rPr>
              <w:t xml:space="preserve">             130,000.00 </w:t>
            </w:r>
          </w:p>
        </w:tc>
        <w:tc>
          <w:tcPr>
            <w:tcW w:w="1806" w:type="dxa"/>
            <w:tcBorders>
              <w:top w:val="nil"/>
              <w:left w:val="nil"/>
              <w:bottom w:val="single" w:color="auto" w:sz="4" w:space="0"/>
              <w:right w:val="single" w:color="auto" w:sz="8" w:space="0"/>
            </w:tcBorders>
          </w:tcPr>
          <w:p w14:paraId="2F64F9A4">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130,000.00 </w:t>
            </w:r>
          </w:p>
        </w:tc>
      </w:tr>
      <w:tr w14:paraId="6A809E8F">
        <w:tblPrEx>
          <w:tblCellMar>
            <w:top w:w="0" w:type="dxa"/>
            <w:left w:w="108" w:type="dxa"/>
            <w:bottom w:w="0" w:type="dxa"/>
            <w:right w:w="108" w:type="dxa"/>
          </w:tblCellMar>
        </w:tblPrEx>
        <w:trPr>
          <w:trHeight w:val="300" w:hRule="atLeast"/>
        </w:trPr>
        <w:tc>
          <w:tcPr>
            <w:tcW w:w="576" w:type="dxa"/>
            <w:tcBorders>
              <w:top w:val="nil"/>
              <w:left w:val="single" w:color="auto" w:sz="8" w:space="0"/>
              <w:bottom w:val="single" w:color="auto" w:sz="4" w:space="0"/>
              <w:right w:val="single" w:color="auto" w:sz="4" w:space="0"/>
            </w:tcBorders>
          </w:tcPr>
          <w:p w14:paraId="0E61DBA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single" w:color="auto" w:sz="4" w:space="0"/>
              <w:right w:val="single" w:color="auto" w:sz="4" w:space="0"/>
            </w:tcBorders>
          </w:tcPr>
          <w:p w14:paraId="5B3491E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0ACE048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single" w:color="auto" w:sz="4" w:space="0"/>
              <w:right w:val="single" w:color="auto" w:sz="4" w:space="0"/>
            </w:tcBorders>
          </w:tcPr>
          <w:p w14:paraId="1C90EFC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single" w:color="auto" w:sz="4" w:space="0"/>
              <w:right w:val="single" w:color="auto" w:sz="4" w:space="0"/>
            </w:tcBorders>
          </w:tcPr>
          <w:p w14:paraId="7F4AC63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single" w:color="auto" w:sz="4" w:space="0"/>
              <w:right w:val="single" w:color="auto" w:sz="8" w:space="0"/>
            </w:tcBorders>
          </w:tcPr>
          <w:p w14:paraId="72A2CC32">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   </w:t>
            </w:r>
          </w:p>
        </w:tc>
      </w:tr>
      <w:tr w14:paraId="69A26CF6">
        <w:tblPrEx>
          <w:tblCellMar>
            <w:top w:w="0" w:type="dxa"/>
            <w:left w:w="108" w:type="dxa"/>
            <w:bottom w:w="0" w:type="dxa"/>
            <w:right w:w="108" w:type="dxa"/>
          </w:tblCellMar>
        </w:tblPrEx>
        <w:trPr>
          <w:trHeight w:val="1530" w:hRule="atLeast"/>
        </w:trPr>
        <w:tc>
          <w:tcPr>
            <w:tcW w:w="576" w:type="dxa"/>
            <w:tcBorders>
              <w:top w:val="nil"/>
              <w:left w:val="single" w:color="auto" w:sz="8" w:space="0"/>
              <w:bottom w:val="single" w:color="auto" w:sz="4" w:space="0"/>
              <w:right w:val="single" w:color="auto" w:sz="4" w:space="0"/>
            </w:tcBorders>
          </w:tcPr>
          <w:p w14:paraId="634FD2A7">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15.3</w:t>
            </w:r>
          </w:p>
        </w:tc>
        <w:tc>
          <w:tcPr>
            <w:tcW w:w="3144" w:type="dxa"/>
            <w:tcBorders>
              <w:top w:val="nil"/>
              <w:left w:val="nil"/>
              <w:bottom w:val="single" w:color="auto" w:sz="4" w:space="0"/>
              <w:right w:val="single" w:color="auto" w:sz="4" w:space="0"/>
            </w:tcBorders>
          </w:tcPr>
          <w:p w14:paraId="0851306E">
            <w:pPr>
              <w:spacing w:line="240" w:lineRule="auto"/>
              <w:rPr>
                <w:rFonts w:ascii="Times New Roman" w:hAnsi="Times New Roman" w:eastAsia="Times New Roman"/>
                <w:sz w:val="16"/>
                <w:szCs w:val="16"/>
              </w:rPr>
            </w:pPr>
            <w:r>
              <w:rPr>
                <w:rFonts w:ascii="Times New Roman" w:hAnsi="Times New Roman" w:eastAsia="Times New Roman"/>
                <w:sz w:val="16"/>
                <w:szCs w:val="16"/>
              </w:rPr>
              <w:t>Allow a Provisional Sum of Kshs. 500,000 for use as directed by the Engineer on other works that may be unforseen e.g. demolition of existing structures, etc.</w:t>
            </w:r>
          </w:p>
        </w:tc>
        <w:tc>
          <w:tcPr>
            <w:tcW w:w="960" w:type="dxa"/>
            <w:tcBorders>
              <w:top w:val="nil"/>
              <w:left w:val="nil"/>
              <w:bottom w:val="single" w:color="auto" w:sz="4" w:space="0"/>
              <w:right w:val="single" w:color="auto" w:sz="4" w:space="0"/>
            </w:tcBorders>
          </w:tcPr>
          <w:p w14:paraId="2DBBA4A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Item</w:t>
            </w:r>
          </w:p>
        </w:tc>
        <w:tc>
          <w:tcPr>
            <w:tcW w:w="960" w:type="dxa"/>
            <w:tcBorders>
              <w:top w:val="nil"/>
              <w:left w:val="nil"/>
              <w:bottom w:val="single" w:color="auto" w:sz="4" w:space="0"/>
              <w:right w:val="single" w:color="auto" w:sz="4" w:space="0"/>
            </w:tcBorders>
          </w:tcPr>
          <w:p w14:paraId="12A9944F">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P.S</w:t>
            </w:r>
          </w:p>
        </w:tc>
        <w:tc>
          <w:tcPr>
            <w:tcW w:w="1900" w:type="dxa"/>
            <w:tcBorders>
              <w:top w:val="nil"/>
              <w:left w:val="nil"/>
              <w:bottom w:val="single" w:color="auto" w:sz="4" w:space="0"/>
              <w:right w:val="single" w:color="auto" w:sz="4" w:space="0"/>
            </w:tcBorders>
          </w:tcPr>
          <w:p w14:paraId="0EAB6029">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xml:space="preserve">             500,000.00 </w:t>
            </w:r>
          </w:p>
        </w:tc>
        <w:tc>
          <w:tcPr>
            <w:tcW w:w="1806" w:type="dxa"/>
            <w:tcBorders>
              <w:top w:val="nil"/>
              <w:left w:val="nil"/>
              <w:bottom w:val="single" w:color="auto" w:sz="4" w:space="0"/>
              <w:right w:val="single" w:color="auto" w:sz="8" w:space="0"/>
            </w:tcBorders>
          </w:tcPr>
          <w:p w14:paraId="5F94C6FB">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500,000.00 </w:t>
            </w:r>
          </w:p>
        </w:tc>
      </w:tr>
      <w:tr w14:paraId="2EECEAC0">
        <w:tblPrEx>
          <w:tblCellMar>
            <w:top w:w="0" w:type="dxa"/>
            <w:left w:w="108" w:type="dxa"/>
            <w:bottom w:w="0" w:type="dxa"/>
            <w:right w:w="108" w:type="dxa"/>
          </w:tblCellMar>
        </w:tblPrEx>
        <w:trPr>
          <w:trHeight w:val="300" w:hRule="atLeast"/>
        </w:trPr>
        <w:tc>
          <w:tcPr>
            <w:tcW w:w="576" w:type="dxa"/>
            <w:tcBorders>
              <w:top w:val="nil"/>
              <w:left w:val="single" w:color="auto" w:sz="8" w:space="0"/>
              <w:bottom w:val="nil"/>
              <w:right w:val="single" w:color="auto" w:sz="4" w:space="0"/>
            </w:tcBorders>
          </w:tcPr>
          <w:p w14:paraId="173B1B2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nil"/>
              <w:left w:val="nil"/>
              <w:bottom w:val="nil"/>
              <w:right w:val="single" w:color="auto" w:sz="4" w:space="0"/>
            </w:tcBorders>
          </w:tcPr>
          <w:p w14:paraId="518D24FF">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nil"/>
              <w:right w:val="single" w:color="auto" w:sz="4" w:space="0"/>
            </w:tcBorders>
          </w:tcPr>
          <w:p w14:paraId="2ED11A3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nil"/>
              <w:left w:val="nil"/>
              <w:bottom w:val="nil"/>
              <w:right w:val="single" w:color="auto" w:sz="4" w:space="0"/>
            </w:tcBorders>
          </w:tcPr>
          <w:p w14:paraId="26E75FB6">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nil"/>
              <w:left w:val="nil"/>
              <w:bottom w:val="nil"/>
              <w:right w:val="single" w:color="auto" w:sz="4" w:space="0"/>
            </w:tcBorders>
          </w:tcPr>
          <w:p w14:paraId="154F97A5">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nil"/>
              <w:left w:val="nil"/>
              <w:bottom w:val="nil"/>
              <w:right w:val="single" w:color="auto" w:sz="8" w:space="0"/>
            </w:tcBorders>
          </w:tcPr>
          <w:p w14:paraId="29795635">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00B012BA">
        <w:tblPrEx>
          <w:tblCellMar>
            <w:top w:w="0" w:type="dxa"/>
            <w:left w:w="108" w:type="dxa"/>
            <w:bottom w:w="0" w:type="dxa"/>
            <w:right w:w="108" w:type="dxa"/>
          </w:tblCellMar>
        </w:tblPrEx>
        <w:trPr>
          <w:trHeight w:val="300" w:hRule="atLeast"/>
        </w:trPr>
        <w:tc>
          <w:tcPr>
            <w:tcW w:w="576" w:type="dxa"/>
            <w:tcBorders>
              <w:top w:val="single" w:color="auto" w:sz="4" w:space="0"/>
              <w:left w:val="single" w:color="auto" w:sz="8" w:space="0"/>
              <w:bottom w:val="nil"/>
              <w:right w:val="single" w:color="auto" w:sz="4" w:space="0"/>
            </w:tcBorders>
          </w:tcPr>
          <w:p w14:paraId="51F683C4">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single" w:color="auto" w:sz="4" w:space="0"/>
              <w:left w:val="nil"/>
              <w:bottom w:val="nil"/>
              <w:right w:val="single" w:color="auto" w:sz="4" w:space="0"/>
            </w:tcBorders>
          </w:tcPr>
          <w:p w14:paraId="7929E2FF">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Subtotal for Miscellaneous</w:t>
            </w:r>
          </w:p>
        </w:tc>
        <w:tc>
          <w:tcPr>
            <w:tcW w:w="960" w:type="dxa"/>
            <w:tcBorders>
              <w:top w:val="single" w:color="auto" w:sz="4" w:space="0"/>
              <w:left w:val="nil"/>
              <w:bottom w:val="nil"/>
              <w:right w:val="single" w:color="auto" w:sz="4" w:space="0"/>
            </w:tcBorders>
          </w:tcPr>
          <w:p w14:paraId="56F646F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single" w:color="auto" w:sz="4" w:space="0"/>
              <w:left w:val="nil"/>
              <w:bottom w:val="nil"/>
              <w:right w:val="single" w:color="auto" w:sz="4" w:space="0"/>
            </w:tcBorders>
          </w:tcPr>
          <w:p w14:paraId="410CAAEC">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single" w:color="auto" w:sz="4" w:space="0"/>
              <w:left w:val="nil"/>
              <w:bottom w:val="nil"/>
              <w:right w:val="single" w:color="auto" w:sz="4" w:space="0"/>
            </w:tcBorders>
          </w:tcPr>
          <w:p w14:paraId="1E0606FD">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single" w:color="auto" w:sz="4" w:space="0"/>
              <w:left w:val="nil"/>
              <w:bottom w:val="nil"/>
              <w:right w:val="single" w:color="auto" w:sz="8" w:space="0"/>
            </w:tcBorders>
          </w:tcPr>
          <w:p w14:paraId="6846D6EC">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xml:space="preserve">                                                 642,500.00 </w:t>
            </w:r>
          </w:p>
        </w:tc>
      </w:tr>
      <w:tr w14:paraId="18875195">
        <w:tblPrEx>
          <w:tblCellMar>
            <w:top w:w="0" w:type="dxa"/>
            <w:left w:w="108" w:type="dxa"/>
            <w:bottom w:w="0" w:type="dxa"/>
            <w:right w:w="108" w:type="dxa"/>
          </w:tblCellMar>
        </w:tblPrEx>
        <w:trPr>
          <w:trHeight w:val="315" w:hRule="atLeast"/>
        </w:trPr>
        <w:tc>
          <w:tcPr>
            <w:tcW w:w="576" w:type="dxa"/>
            <w:tcBorders>
              <w:top w:val="single" w:color="auto" w:sz="4" w:space="0"/>
              <w:left w:val="single" w:color="auto" w:sz="8" w:space="0"/>
              <w:bottom w:val="double" w:color="auto" w:sz="6" w:space="0"/>
              <w:right w:val="single" w:color="auto" w:sz="4" w:space="0"/>
            </w:tcBorders>
          </w:tcPr>
          <w:p w14:paraId="7DCB07C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3144" w:type="dxa"/>
            <w:tcBorders>
              <w:top w:val="single" w:color="auto" w:sz="4" w:space="0"/>
              <w:left w:val="nil"/>
              <w:bottom w:val="double" w:color="auto" w:sz="6" w:space="0"/>
              <w:right w:val="single" w:color="auto" w:sz="4" w:space="0"/>
            </w:tcBorders>
          </w:tcPr>
          <w:p w14:paraId="70F5CBC2">
            <w:pPr>
              <w:spacing w:line="240" w:lineRule="auto"/>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single" w:color="auto" w:sz="4" w:space="0"/>
              <w:left w:val="nil"/>
              <w:bottom w:val="double" w:color="auto" w:sz="6" w:space="0"/>
              <w:right w:val="single" w:color="auto" w:sz="4" w:space="0"/>
            </w:tcBorders>
          </w:tcPr>
          <w:p w14:paraId="2096C9E3">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960" w:type="dxa"/>
            <w:tcBorders>
              <w:top w:val="single" w:color="auto" w:sz="4" w:space="0"/>
              <w:left w:val="nil"/>
              <w:bottom w:val="double" w:color="auto" w:sz="6" w:space="0"/>
              <w:right w:val="single" w:color="auto" w:sz="4" w:space="0"/>
            </w:tcBorders>
          </w:tcPr>
          <w:p w14:paraId="53CBDF68">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900" w:type="dxa"/>
            <w:tcBorders>
              <w:top w:val="single" w:color="auto" w:sz="4" w:space="0"/>
              <w:left w:val="nil"/>
              <w:bottom w:val="double" w:color="auto" w:sz="6" w:space="0"/>
              <w:right w:val="single" w:color="auto" w:sz="4" w:space="0"/>
            </w:tcBorders>
          </w:tcPr>
          <w:p w14:paraId="4F467FBB">
            <w:pPr>
              <w:spacing w:line="240" w:lineRule="auto"/>
              <w:jc w:val="center"/>
              <w:rPr>
                <w:rFonts w:ascii="Times New Roman" w:hAnsi="Times New Roman" w:eastAsia="Times New Roman"/>
                <w:sz w:val="16"/>
                <w:szCs w:val="16"/>
              </w:rPr>
            </w:pPr>
            <w:r>
              <w:rPr>
                <w:rFonts w:ascii="Times New Roman" w:hAnsi="Times New Roman" w:eastAsia="Times New Roman"/>
                <w:sz w:val="16"/>
                <w:szCs w:val="16"/>
              </w:rPr>
              <w:t> </w:t>
            </w:r>
          </w:p>
        </w:tc>
        <w:tc>
          <w:tcPr>
            <w:tcW w:w="1806" w:type="dxa"/>
            <w:tcBorders>
              <w:top w:val="single" w:color="auto" w:sz="4" w:space="0"/>
              <w:left w:val="nil"/>
              <w:bottom w:val="double" w:color="auto" w:sz="6" w:space="0"/>
              <w:right w:val="single" w:color="auto" w:sz="8" w:space="0"/>
            </w:tcBorders>
          </w:tcPr>
          <w:p w14:paraId="5E9F18CD">
            <w:pPr>
              <w:spacing w:line="240" w:lineRule="auto"/>
              <w:jc w:val="right"/>
              <w:rPr>
                <w:rFonts w:ascii="Times New Roman" w:hAnsi="Times New Roman" w:eastAsia="Times New Roman"/>
                <w:sz w:val="16"/>
                <w:szCs w:val="16"/>
              </w:rPr>
            </w:pPr>
            <w:r>
              <w:rPr>
                <w:rFonts w:ascii="Times New Roman" w:hAnsi="Times New Roman" w:eastAsia="Times New Roman"/>
                <w:sz w:val="16"/>
                <w:szCs w:val="16"/>
              </w:rPr>
              <w:t> </w:t>
            </w:r>
          </w:p>
        </w:tc>
      </w:tr>
      <w:tr w14:paraId="05E87B83">
        <w:tblPrEx>
          <w:tblCellMar>
            <w:top w:w="0" w:type="dxa"/>
            <w:left w:w="108" w:type="dxa"/>
            <w:bottom w:w="0" w:type="dxa"/>
            <w:right w:w="108" w:type="dxa"/>
          </w:tblCellMar>
        </w:tblPrEx>
        <w:trPr>
          <w:trHeight w:val="315" w:hRule="atLeast"/>
        </w:trPr>
        <w:tc>
          <w:tcPr>
            <w:tcW w:w="576" w:type="dxa"/>
            <w:tcBorders>
              <w:top w:val="nil"/>
              <w:left w:val="single" w:color="auto" w:sz="8" w:space="0"/>
              <w:bottom w:val="single" w:color="auto" w:sz="4" w:space="0"/>
              <w:right w:val="single" w:color="auto" w:sz="4" w:space="0"/>
            </w:tcBorders>
          </w:tcPr>
          <w:p w14:paraId="1A518431">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3144" w:type="dxa"/>
            <w:tcBorders>
              <w:top w:val="nil"/>
              <w:left w:val="nil"/>
              <w:bottom w:val="single" w:color="auto" w:sz="4" w:space="0"/>
              <w:right w:val="single" w:color="auto" w:sz="4" w:space="0"/>
            </w:tcBorders>
          </w:tcPr>
          <w:p w14:paraId="44491515">
            <w:pPr>
              <w:spacing w:line="240" w:lineRule="auto"/>
              <w:rPr>
                <w:rFonts w:ascii="Times New Roman" w:hAnsi="Times New Roman" w:eastAsia="Times New Roman"/>
                <w:b/>
                <w:bCs/>
                <w:sz w:val="16"/>
                <w:szCs w:val="16"/>
              </w:rPr>
            </w:pPr>
            <w:r>
              <w:rPr>
                <w:rFonts w:ascii="Times New Roman" w:hAnsi="Times New Roman" w:eastAsia="Times New Roman"/>
                <w:b/>
                <w:bCs/>
                <w:sz w:val="16"/>
                <w:szCs w:val="16"/>
              </w:rPr>
              <w:t>GRAND TOTAL</w:t>
            </w:r>
          </w:p>
        </w:tc>
        <w:tc>
          <w:tcPr>
            <w:tcW w:w="960" w:type="dxa"/>
            <w:tcBorders>
              <w:top w:val="nil"/>
              <w:left w:val="nil"/>
              <w:bottom w:val="single" w:color="auto" w:sz="4" w:space="0"/>
              <w:right w:val="single" w:color="auto" w:sz="4" w:space="0"/>
            </w:tcBorders>
          </w:tcPr>
          <w:p w14:paraId="42BA92D5">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960" w:type="dxa"/>
            <w:tcBorders>
              <w:top w:val="nil"/>
              <w:left w:val="nil"/>
              <w:bottom w:val="single" w:color="auto" w:sz="4" w:space="0"/>
              <w:right w:val="single" w:color="auto" w:sz="4" w:space="0"/>
            </w:tcBorders>
          </w:tcPr>
          <w:p w14:paraId="0A9FC4CE">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900" w:type="dxa"/>
            <w:tcBorders>
              <w:top w:val="nil"/>
              <w:left w:val="nil"/>
              <w:bottom w:val="single" w:color="auto" w:sz="4" w:space="0"/>
              <w:right w:val="single" w:color="auto" w:sz="4" w:space="0"/>
            </w:tcBorders>
          </w:tcPr>
          <w:p w14:paraId="2E4DDAFE">
            <w:pPr>
              <w:spacing w:line="240" w:lineRule="auto"/>
              <w:jc w:val="center"/>
              <w:rPr>
                <w:rFonts w:ascii="Times New Roman" w:hAnsi="Times New Roman" w:eastAsia="Times New Roman"/>
                <w:b/>
                <w:bCs/>
                <w:sz w:val="16"/>
                <w:szCs w:val="16"/>
              </w:rPr>
            </w:pPr>
            <w:r>
              <w:rPr>
                <w:rFonts w:ascii="Times New Roman" w:hAnsi="Times New Roman" w:eastAsia="Times New Roman"/>
                <w:b/>
                <w:bCs/>
                <w:sz w:val="16"/>
                <w:szCs w:val="16"/>
              </w:rPr>
              <w:t> </w:t>
            </w:r>
          </w:p>
        </w:tc>
        <w:tc>
          <w:tcPr>
            <w:tcW w:w="1806" w:type="dxa"/>
            <w:tcBorders>
              <w:top w:val="nil"/>
              <w:left w:val="nil"/>
              <w:bottom w:val="single" w:color="auto" w:sz="4" w:space="0"/>
              <w:right w:val="single" w:color="auto" w:sz="8" w:space="0"/>
            </w:tcBorders>
          </w:tcPr>
          <w:p w14:paraId="7BD71909">
            <w:pPr>
              <w:spacing w:line="240" w:lineRule="auto"/>
              <w:jc w:val="right"/>
              <w:rPr>
                <w:rFonts w:ascii="Times New Roman" w:hAnsi="Times New Roman" w:eastAsia="Times New Roman"/>
                <w:b/>
                <w:bCs/>
                <w:sz w:val="16"/>
                <w:szCs w:val="16"/>
              </w:rPr>
            </w:pPr>
            <w:r>
              <w:rPr>
                <w:rFonts w:ascii="Times New Roman" w:hAnsi="Times New Roman" w:eastAsia="Times New Roman"/>
                <w:b/>
                <w:bCs/>
                <w:sz w:val="16"/>
                <w:szCs w:val="16"/>
              </w:rPr>
              <w:t xml:space="preserve">                                              8,692,450.00 </w:t>
            </w:r>
          </w:p>
        </w:tc>
      </w:tr>
    </w:tbl>
    <w:p w14:paraId="42D71334">
      <w:pPr>
        <w:spacing w:line="240" w:lineRule="auto"/>
        <w:rPr>
          <w:rFonts w:ascii="Times New Roman" w:hAnsi="Times New Roman"/>
          <w:b/>
          <w:szCs w:val="24"/>
        </w:rPr>
      </w:pPr>
    </w:p>
    <w:p w14:paraId="500877B9">
      <w:pPr>
        <w:spacing w:line="240" w:lineRule="auto"/>
        <w:rPr>
          <w:rFonts w:ascii="Times New Roman" w:hAnsi="Times New Roman"/>
          <w:szCs w:val="24"/>
        </w:rPr>
      </w:pPr>
      <w:r>
        <w:rPr>
          <w:rFonts w:ascii="Times New Roman" w:hAnsi="Times New Roman"/>
          <w:szCs w:val="24"/>
        </w:rPr>
        <w:drawing>
          <wp:inline distT="0" distB="0" distL="114300" distR="114300">
            <wp:extent cx="6386195" cy="9204960"/>
            <wp:effectExtent l="0" t="0" r="14605" b="15240"/>
            <wp:docPr id="116" name="Picture 116" descr="WhatsApp Image 2025-12-16 at 08.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WhatsApp Image 2025-12-16 at 08.43.28"/>
                    <pic:cNvPicPr>
                      <a:picLocks noChangeAspect="1"/>
                    </pic:cNvPicPr>
                  </pic:nvPicPr>
                  <pic:blipFill>
                    <a:blip r:embed="rId74"/>
                    <a:stretch>
                      <a:fillRect/>
                    </a:stretch>
                  </pic:blipFill>
                  <pic:spPr>
                    <a:xfrm>
                      <a:off x="0" y="0"/>
                      <a:ext cx="6386195" cy="9204960"/>
                    </a:xfrm>
                    <a:prstGeom prst="rect">
                      <a:avLst/>
                    </a:prstGeom>
                  </pic:spPr>
                </pic:pic>
              </a:graphicData>
            </a:graphic>
          </wp:inline>
        </w:drawing>
      </w:r>
    </w:p>
    <w:p w14:paraId="6FE5D922">
      <w:pPr>
        <w:spacing w:line="240" w:lineRule="auto"/>
        <w:rPr>
          <w:rFonts w:ascii="Times New Roman" w:hAnsi="Times New Roman"/>
          <w:szCs w:val="24"/>
        </w:rPr>
      </w:pPr>
    </w:p>
    <w:p w14:paraId="5FC7E0E4">
      <w:pPr>
        <w:spacing w:line="240" w:lineRule="auto"/>
        <w:rPr>
          <w:rFonts w:ascii="Times New Roman" w:hAnsi="Times New Roman"/>
          <w:szCs w:val="24"/>
        </w:rPr>
      </w:pPr>
    </w:p>
    <w:p w14:paraId="120B6844">
      <w:pPr>
        <w:spacing w:line="240" w:lineRule="auto"/>
        <w:rPr>
          <w:rFonts w:ascii="Times New Roman" w:hAnsi="Times New Roman"/>
          <w:szCs w:val="24"/>
        </w:rPr>
      </w:pPr>
      <w:r>
        <w:rPr>
          <w:rFonts w:ascii="Times New Roman" w:hAnsi="Times New Roman"/>
          <w:szCs w:val="24"/>
        </w:rPr>
        <w:t>KIMAWASCO PIN CERTIFICATE</w:t>
      </w:r>
    </w:p>
    <w:p w14:paraId="5AABBF96">
      <w:pPr>
        <w:spacing w:line="240" w:lineRule="auto"/>
        <w:rPr>
          <w:rFonts w:ascii="Times New Roman" w:hAnsi="Times New Roman"/>
          <w:szCs w:val="24"/>
        </w:rPr>
      </w:pPr>
    </w:p>
    <w:p w14:paraId="09E1B0E4">
      <w:pPr>
        <w:spacing w:line="240" w:lineRule="auto"/>
        <w:rPr>
          <w:rFonts w:ascii="Times New Roman" w:hAnsi="Times New Roman"/>
        </w:rPr>
      </w:pPr>
      <w:r>
        <w:rPr>
          <w:rFonts w:ascii="Times New Roman" w:hAnsi="Times New Roman"/>
        </w:rPr>
        <w:drawing>
          <wp:inline distT="0" distB="0" distL="114300" distR="114300">
            <wp:extent cx="6579870" cy="4828540"/>
            <wp:effectExtent l="0" t="0" r="11430" b="10160"/>
            <wp:docPr id="49" name="Picture 56" descr="C:\Users\NYAMBURA\Desktop\SANITATION FILE\EEFLUENT APPLICATION\KILIFI WATER PIN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6" descr="C:\Users\NYAMBURA\Desktop\SANITATION FILE\EEFLUENT APPLICATION\KILIFI WATER PIN CERT.jpg"/>
                    <pic:cNvPicPr>
                      <a:picLocks noChangeAspect="1"/>
                    </pic:cNvPicPr>
                  </pic:nvPicPr>
                  <pic:blipFill>
                    <a:blip r:embed="rId75"/>
                    <a:stretch>
                      <a:fillRect/>
                    </a:stretch>
                  </pic:blipFill>
                  <pic:spPr>
                    <a:xfrm>
                      <a:off x="0" y="0"/>
                      <a:ext cx="6579870" cy="4828540"/>
                    </a:xfrm>
                    <a:prstGeom prst="rect">
                      <a:avLst/>
                    </a:prstGeom>
                    <a:noFill/>
                    <a:ln>
                      <a:noFill/>
                    </a:ln>
                  </pic:spPr>
                </pic:pic>
              </a:graphicData>
            </a:graphic>
          </wp:inline>
        </w:drawing>
      </w:r>
    </w:p>
    <w:p w14:paraId="324BD4AD">
      <w:pPr>
        <w:spacing w:line="240" w:lineRule="auto"/>
        <w:rPr>
          <w:rFonts w:ascii="Times New Roman" w:hAnsi="Times New Roman"/>
        </w:rPr>
      </w:pPr>
    </w:p>
    <w:p w14:paraId="222AAD04">
      <w:pPr>
        <w:spacing w:line="240" w:lineRule="auto"/>
        <w:rPr>
          <w:rFonts w:ascii="Times New Roman" w:hAnsi="Times New Roman"/>
        </w:rPr>
      </w:pPr>
    </w:p>
    <w:p w14:paraId="5A3C46D2">
      <w:pPr>
        <w:spacing w:line="240" w:lineRule="auto"/>
        <w:rPr>
          <w:rFonts w:ascii="Times New Roman" w:hAnsi="Times New Roman"/>
        </w:rPr>
      </w:pPr>
    </w:p>
    <w:p w14:paraId="5575D45C">
      <w:pPr>
        <w:spacing w:line="240" w:lineRule="auto"/>
        <w:rPr>
          <w:rFonts w:ascii="Times New Roman" w:hAnsi="Times New Roman"/>
        </w:rPr>
      </w:pPr>
    </w:p>
    <w:p w14:paraId="2460A0BF">
      <w:pPr>
        <w:spacing w:line="240" w:lineRule="auto"/>
        <w:rPr>
          <w:rFonts w:ascii="Times New Roman" w:hAnsi="Times New Roman"/>
        </w:rPr>
      </w:pPr>
    </w:p>
    <w:p w14:paraId="2A037244">
      <w:pPr>
        <w:spacing w:line="240" w:lineRule="auto"/>
        <w:rPr>
          <w:rFonts w:ascii="Times New Roman" w:hAnsi="Times New Roman"/>
        </w:rPr>
      </w:pPr>
    </w:p>
    <w:p w14:paraId="61435AFD">
      <w:pPr>
        <w:spacing w:line="240" w:lineRule="auto"/>
        <w:rPr>
          <w:rFonts w:ascii="Times New Roman" w:hAnsi="Times New Roman"/>
        </w:rPr>
      </w:pPr>
    </w:p>
    <w:p w14:paraId="70069644">
      <w:pPr>
        <w:spacing w:line="240" w:lineRule="auto"/>
        <w:rPr>
          <w:rFonts w:ascii="Times New Roman" w:hAnsi="Times New Roman"/>
        </w:rPr>
      </w:pPr>
    </w:p>
    <w:p w14:paraId="47BFA04B">
      <w:pPr>
        <w:spacing w:line="240" w:lineRule="auto"/>
        <w:rPr>
          <w:rFonts w:ascii="Times New Roman" w:hAnsi="Times New Roman"/>
        </w:rPr>
      </w:pPr>
    </w:p>
    <w:p w14:paraId="1D75452D">
      <w:pPr>
        <w:spacing w:line="240" w:lineRule="auto"/>
        <w:rPr>
          <w:rFonts w:ascii="Times New Roman" w:hAnsi="Times New Roman"/>
        </w:rPr>
      </w:pPr>
    </w:p>
    <w:p w14:paraId="36EB805A">
      <w:pPr>
        <w:spacing w:line="240" w:lineRule="auto"/>
        <w:rPr>
          <w:rFonts w:ascii="Times New Roman" w:hAnsi="Times New Roman"/>
        </w:rPr>
      </w:pPr>
    </w:p>
    <w:p w14:paraId="03A7CE99">
      <w:pPr>
        <w:spacing w:line="240" w:lineRule="auto"/>
        <w:rPr>
          <w:rFonts w:ascii="Times New Roman" w:hAnsi="Times New Roman"/>
        </w:rPr>
      </w:pPr>
    </w:p>
    <w:p w14:paraId="57AD6526">
      <w:pPr>
        <w:spacing w:line="240" w:lineRule="auto"/>
        <w:rPr>
          <w:rFonts w:ascii="Times New Roman" w:hAnsi="Times New Roman"/>
        </w:rPr>
      </w:pPr>
    </w:p>
    <w:p w14:paraId="320E4B08">
      <w:pPr>
        <w:spacing w:line="240" w:lineRule="auto"/>
        <w:rPr>
          <w:rFonts w:ascii="Times New Roman" w:hAnsi="Times New Roman"/>
        </w:rPr>
      </w:pPr>
      <w:r>
        <w:rPr>
          <w:rFonts w:ascii="Times New Roman" w:hAnsi="Times New Roman"/>
        </w:rPr>
        <w:t>KIMAWASCO INCOPORATION CERTIFICATE</w:t>
      </w:r>
    </w:p>
    <w:p w14:paraId="69613EC8">
      <w:pPr>
        <w:spacing w:line="240" w:lineRule="auto"/>
        <w:rPr>
          <w:rFonts w:ascii="Times New Roman" w:hAnsi="Times New Roman"/>
        </w:rPr>
      </w:pPr>
      <w:r>
        <w:rPr>
          <w:rFonts w:ascii="Times New Roman" w:hAnsi="Times New Roman"/>
        </w:rPr>
        <w:drawing>
          <wp:inline distT="0" distB="0" distL="114300" distR="114300">
            <wp:extent cx="6114415" cy="7964805"/>
            <wp:effectExtent l="0" t="0" r="635" b="17145"/>
            <wp:docPr id="50" name="Picture 57" descr="WhatsApp Image 2025-12-10 at 23.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7" descr="WhatsApp Image 2025-12-10 at 23.39.48"/>
                    <pic:cNvPicPr>
                      <a:picLocks noChangeAspect="1"/>
                    </pic:cNvPicPr>
                  </pic:nvPicPr>
                  <pic:blipFill>
                    <a:blip r:embed="rId76"/>
                    <a:stretch>
                      <a:fillRect/>
                    </a:stretch>
                  </pic:blipFill>
                  <pic:spPr>
                    <a:xfrm>
                      <a:off x="0" y="0"/>
                      <a:ext cx="6114415" cy="7964805"/>
                    </a:xfrm>
                    <a:prstGeom prst="rect">
                      <a:avLst/>
                    </a:prstGeom>
                    <a:noFill/>
                    <a:ln>
                      <a:noFill/>
                    </a:ln>
                  </pic:spPr>
                </pic:pic>
              </a:graphicData>
            </a:graphic>
          </wp:inline>
        </w:drawing>
      </w:r>
    </w:p>
    <w:p w14:paraId="52B2666E">
      <w:pPr>
        <w:spacing w:line="240" w:lineRule="auto"/>
        <w:rPr>
          <w:rFonts w:ascii="Times New Roman" w:hAnsi="Times New Roman"/>
        </w:rPr>
      </w:pPr>
    </w:p>
    <w:p w14:paraId="211079C2">
      <w:pPr>
        <w:spacing w:line="240" w:lineRule="auto"/>
        <w:rPr>
          <w:rFonts w:ascii="Times New Roman" w:hAnsi="Times New Roman"/>
        </w:rPr>
      </w:pPr>
    </w:p>
    <w:p w14:paraId="101BBB41">
      <w:pPr>
        <w:spacing w:line="240" w:lineRule="auto"/>
        <w:rPr>
          <w:rFonts w:ascii="Times New Roman" w:hAnsi="Times New Roman"/>
        </w:rPr>
      </w:pPr>
    </w:p>
    <w:p w14:paraId="12EB73CC">
      <w:pPr>
        <w:spacing w:line="240" w:lineRule="auto"/>
        <w:rPr>
          <w:rFonts w:ascii="Times New Roman" w:hAnsi="Times New Roman"/>
        </w:rPr>
      </w:pPr>
      <w:r>
        <w:rPr>
          <w:rFonts w:ascii="Times New Roman" w:hAnsi="Times New Roman"/>
        </w:rPr>
        <w:t>LEAD EXPERT LICENCE</w:t>
      </w:r>
    </w:p>
    <w:p w14:paraId="6DC62203">
      <w:pPr>
        <w:spacing w:line="240" w:lineRule="auto"/>
        <w:rPr>
          <w:rFonts w:ascii="Times New Roman" w:hAnsi="Times New Roman"/>
        </w:rPr>
      </w:pPr>
      <w:r>
        <w:rPr>
          <w:rFonts w:ascii="Times New Roman" w:hAnsi="Times New Roman"/>
        </w:rPr>
        <w:drawing>
          <wp:inline distT="0" distB="0" distL="114300" distR="114300">
            <wp:extent cx="5631180" cy="7964805"/>
            <wp:effectExtent l="0" t="0" r="7620" b="17145"/>
            <wp:docPr id="106" name="Picture 58" descr="WhatsApp Image 2025-12-10 at 23.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8" descr="WhatsApp Image 2025-12-10 at 23.47.57"/>
                    <pic:cNvPicPr>
                      <a:picLocks noChangeAspect="1"/>
                    </pic:cNvPicPr>
                  </pic:nvPicPr>
                  <pic:blipFill>
                    <a:blip r:embed="rId77"/>
                    <a:stretch>
                      <a:fillRect/>
                    </a:stretch>
                  </pic:blipFill>
                  <pic:spPr>
                    <a:xfrm>
                      <a:off x="0" y="0"/>
                      <a:ext cx="5631180" cy="7964805"/>
                    </a:xfrm>
                    <a:prstGeom prst="rect">
                      <a:avLst/>
                    </a:prstGeom>
                    <a:noFill/>
                    <a:ln>
                      <a:noFill/>
                    </a:ln>
                  </pic:spPr>
                </pic:pic>
              </a:graphicData>
            </a:graphic>
          </wp:inline>
        </w:drawing>
      </w:r>
    </w:p>
    <w:p w14:paraId="6513C32D">
      <w:pPr>
        <w:rPr>
          <w:rFonts w:ascii="Times New Roman" w:hAnsi="Times New Roman"/>
        </w:rPr>
      </w:pPr>
    </w:p>
    <w:p w14:paraId="42261AA6">
      <w:pPr>
        <w:rPr>
          <w:rFonts w:hint="default" w:ascii="Times New Roman" w:hAnsi="Times New Roman"/>
          <w:lang w:val="en-GB"/>
        </w:rPr>
      </w:pPr>
      <w:r>
        <w:rPr>
          <w:rFonts w:hint="default" w:ascii="Times New Roman" w:hAnsi="Times New Roman"/>
          <w:lang w:val="en-GB"/>
        </w:rPr>
        <w:t>KIMAWASCO OFFICE LAYOUT</w:t>
      </w:r>
    </w:p>
    <w:p w14:paraId="4A42603C">
      <w:pPr>
        <w:rPr>
          <w:rFonts w:hint="default" w:ascii="Times New Roman" w:hAnsi="Times New Roman"/>
          <w:lang w:val="en-GB"/>
        </w:rPr>
      </w:pPr>
    </w:p>
    <w:p w14:paraId="694FE987">
      <w:pPr>
        <w:rPr>
          <w:rFonts w:hint="default" w:ascii="Times New Roman" w:hAnsi="Times New Roman"/>
          <w:lang w:val="en-GB"/>
        </w:rPr>
      </w:pPr>
      <w:bookmarkStart w:id="739" w:name="_GoBack"/>
      <w:r>
        <w:rPr>
          <w:rFonts w:hint="default" w:ascii="Times New Roman" w:hAnsi="Times New Roman"/>
          <w:lang w:val="en-GB"/>
        </w:rPr>
        <w:drawing>
          <wp:inline distT="0" distB="0" distL="114300" distR="114300">
            <wp:extent cx="6772275" cy="5280660"/>
            <wp:effectExtent l="0" t="0" r="9525" b="15240"/>
            <wp:docPr id="5" name="Picture 5" descr="KIMAWASCO HEAD OFFICE ABLUTION BLOCK SITE LAYOUT ON M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IMAWASCO HEAD OFFICE ABLUTION BLOCK SITE LAYOUT ON MAP(1)(1)"/>
                    <pic:cNvPicPr>
                      <a:picLocks noChangeAspect="1"/>
                    </pic:cNvPicPr>
                  </pic:nvPicPr>
                  <pic:blipFill>
                    <a:blip r:embed="rId78"/>
                    <a:stretch>
                      <a:fillRect/>
                    </a:stretch>
                  </pic:blipFill>
                  <pic:spPr>
                    <a:xfrm>
                      <a:off x="0" y="0"/>
                      <a:ext cx="6772275" cy="5280660"/>
                    </a:xfrm>
                    <a:prstGeom prst="rect">
                      <a:avLst/>
                    </a:prstGeom>
                  </pic:spPr>
                </pic:pic>
              </a:graphicData>
            </a:graphic>
          </wp:inline>
        </w:drawing>
      </w:r>
      <w:bookmarkEnd w:id="739"/>
    </w:p>
    <w:sectPr>
      <w:pgSz w:w="11906" w:h="16838"/>
      <w:pgMar w:top="709" w:right="140" w:bottom="1440" w:left="1078"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lenovo" w:date="2026-03-25T09:24:00Z" w:initials="l">
    <w:p w14:paraId="47FC0202">
      <w:pPr>
        <w:pStyle w:val="12"/>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7FC02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DengXian Light">
    <w:altName w:val="SimSun"/>
    <w:panose1 w:val="00000000000000000000"/>
    <w:charset w:val="86"/>
    <w:family w:val="auto"/>
    <w:pitch w:val="default"/>
    <w:sig w:usb0="00000000" w:usb1="00000000" w:usb2="00000016" w:usb3="00000000" w:csb0="0004000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Microsoft YaHei">
    <w:panose1 w:val="020B0503020204020204"/>
    <w:charset w:val="86"/>
    <w:family w:val="auto"/>
    <w:pitch w:val="default"/>
    <w:sig w:usb0="80000287" w:usb1="2ACF3C50" w:usb2="00000016" w:usb3="00000000" w:csb0="0004001F" w:csb1="00000000"/>
  </w:font>
  <w:font w:name="ArialMT">
    <w:altName w:val="Malgun Gothic Semilight"/>
    <w:panose1 w:val="00000000000000000000"/>
    <w:charset w:val="00"/>
    <w:family w:val="auto"/>
    <w:pitch w:val="default"/>
    <w:sig w:usb0="00000000" w:usb1="00000000" w:usb2="00000000" w:usb3="00000000" w:csb0="00000001" w:csb1="00000000"/>
  </w:font>
  <w:font w:name="Malgun Gothic Semilight">
    <w:panose1 w:val="020B0502040204020203"/>
    <w:charset w:val="86"/>
    <w:family w:val="auto"/>
    <w:pitch w:val="default"/>
    <w:sig w:usb0="900002AF" w:usb1="01D77CFB" w:usb2="00000012" w:usb3="00000000" w:csb0="203E01BD" w:csb1="D7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DengXian">
    <w:altName w:val="SimSun"/>
    <w:panose1 w:val="02010600030101010101"/>
    <w:charset w:val="86"/>
    <w:family w:val="auto"/>
    <w:pitch w:val="default"/>
    <w:sig w:usb0="00000000" w:usb1="00000000" w:usb2="00000016" w:usb3="00000000" w:csb0="0004000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8B32E">
    <w:pPr>
      <w:pStyle w:val="14"/>
      <w:jc w:val="center"/>
    </w:pPr>
    <w:r>
      <w:fldChar w:fldCharType="begin"/>
    </w:r>
    <w:r>
      <w:instrText xml:space="preserve"> PAGE   \* MERGEFORMAT </w:instrText>
    </w:r>
    <w:r>
      <w:fldChar w:fldCharType="separate"/>
    </w:r>
    <w:r>
      <w:t>2</w:t>
    </w:r>
    <w:r>
      <w:fldChar w:fldCharType="end"/>
    </w:r>
  </w:p>
  <w:p w14:paraId="495EAE66">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D7BEF">
    <w:pPr>
      <w:pStyle w:val="14"/>
      <w:jc w:val="center"/>
    </w:pPr>
    <w:r>
      <w:fldChar w:fldCharType="begin"/>
    </w:r>
    <w:r>
      <w:instrText xml:space="preserve"> PAGE   \* MERGEFORMAT </w:instrText>
    </w:r>
    <w:r>
      <w:fldChar w:fldCharType="separate"/>
    </w:r>
    <w:r>
      <w:t>2</w:t>
    </w:r>
    <w:r>
      <w:fldChar w:fldCharType="end"/>
    </w:r>
  </w:p>
  <w:p w14:paraId="68D871F0">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87D27">
    <w:pPr>
      <w:pStyle w:val="14"/>
    </w:pPr>
    <w:r>
      <w:tab/>
    </w:r>
    <w:r>
      <w:fldChar w:fldCharType="begin"/>
    </w:r>
    <w:r>
      <w:instrText xml:space="preserve"> PAGE   \* MERGEFORMAT </w:instrText>
    </w:r>
    <w:r>
      <w:fldChar w:fldCharType="separate"/>
    </w:r>
    <w:r>
      <w:t>lxxi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84354">
    <w:pPr>
      <w:pStyle w:val="14"/>
      <w:jc w:val="center"/>
    </w:pPr>
    <w:r>
      <w:fldChar w:fldCharType="begin"/>
    </w:r>
    <w:r>
      <w:instrText xml:space="preserve"> PAGE   \* MERGEFORMAT </w:instrText>
    </w:r>
    <w:r>
      <w:fldChar w:fldCharType="separate"/>
    </w:r>
    <w:r>
      <w:t>2</w:t>
    </w:r>
    <w:r>
      <w:fldChar w:fldCharType="end"/>
    </w:r>
  </w:p>
  <w:p w14:paraId="04BBBF0B">
    <w:pPr>
      <w:pStyle w:val="14"/>
      <w:rPr>
        <w:b/>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72"/>
      <w:gridCol w:w="4968"/>
    </w:tblGrid>
    <w:tr w14:paraId="65EE425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2" w:type="dxa"/>
        </w:tcPr>
        <w:p w14:paraId="1BB3492C">
          <w:pPr>
            <w:pStyle w:val="14"/>
            <w:tabs>
              <w:tab w:val="center" w:pos="4820"/>
              <w:tab w:val="right" w:pos="9923"/>
              <w:tab w:val="clear" w:pos="4513"/>
              <w:tab w:val="clear" w:pos="9026"/>
            </w:tabs>
            <w:rPr>
              <w:rFonts w:cs="Arial"/>
              <w:b/>
              <w:sz w:val="18"/>
              <w:szCs w:val="18"/>
            </w:rPr>
          </w:pPr>
          <w:r>
            <w:rPr>
              <w:rFonts w:cs="Arial"/>
              <w:b/>
              <w:sz w:val="18"/>
              <w:szCs w:val="18"/>
            </w:rPr>
            <w:t xml:space="preserve">MIBP / CES </w:t>
          </w:r>
        </w:p>
      </w:tc>
      <w:tc>
        <w:tcPr>
          <w:tcW w:w="4968" w:type="dxa"/>
        </w:tcPr>
        <w:p w14:paraId="480AEB36">
          <w:pPr>
            <w:pStyle w:val="14"/>
            <w:tabs>
              <w:tab w:val="center" w:pos="4820"/>
              <w:tab w:val="right" w:pos="9923"/>
              <w:tab w:val="clear" w:pos="4513"/>
              <w:tab w:val="clear" w:pos="9026"/>
            </w:tabs>
            <w:jc w:val="right"/>
            <w:rPr>
              <w:rFonts w:cs="Arial"/>
              <w:b/>
              <w:bCs/>
              <w:sz w:val="18"/>
              <w:szCs w:val="18"/>
            </w:rPr>
          </w:pPr>
          <w:r>
            <w:rPr>
              <w:rFonts w:cs="Arial"/>
              <w:b/>
              <w:bCs/>
              <w:sz w:val="18"/>
              <w:szCs w:val="18"/>
            </w:rPr>
            <w:fldChar w:fldCharType="begin"/>
          </w:r>
          <w:r>
            <w:rPr>
              <w:rFonts w:cs="Arial"/>
              <w:b/>
              <w:bCs/>
              <w:sz w:val="18"/>
              <w:szCs w:val="18"/>
            </w:rPr>
            <w:instrText xml:space="preserve"> PAGE   \* MERGEFORMAT </w:instrText>
          </w:r>
          <w:r>
            <w:rPr>
              <w:rFonts w:cs="Arial"/>
              <w:b/>
              <w:bCs/>
              <w:sz w:val="18"/>
              <w:szCs w:val="18"/>
            </w:rPr>
            <w:fldChar w:fldCharType="separate"/>
          </w:r>
          <w:r>
            <w:rPr>
              <w:rFonts w:cs="Arial"/>
              <w:b/>
              <w:bCs/>
              <w:sz w:val="18"/>
              <w:szCs w:val="18"/>
            </w:rPr>
            <w:t>2</w:t>
          </w:r>
          <w:r>
            <w:rPr>
              <w:rFonts w:cs="Arial"/>
              <w:b/>
              <w:bCs/>
              <w:sz w:val="18"/>
              <w:szCs w:val="18"/>
            </w:rPr>
            <w:fldChar w:fldCharType="end"/>
          </w:r>
        </w:p>
      </w:tc>
    </w:tr>
  </w:tbl>
  <w:p w14:paraId="0075027E">
    <w:pPr>
      <w:pStyle w:val="14"/>
      <w:tabs>
        <w:tab w:val="center" w:pos="4820"/>
        <w:tab w:val="right" w:pos="9923"/>
        <w:tab w:val="clear" w:pos="4513"/>
        <w:tab w:val="clear" w:pos="9026"/>
      </w:tabs>
      <w:ind w:left="90"/>
      <w:rPr>
        <w:rFonts w:cs="Arial"/>
        <w:i/>
        <w:iCs/>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87718">
    <w:pPr>
      <w:pStyle w:val="8"/>
      <w:spacing w:line="14" w:lineRule="auto"/>
    </w:pPr>
    <w:r>
      <mc:AlternateContent>
        <mc:Choice Requires="wps">
          <w:drawing>
            <wp:anchor distT="0" distB="0" distL="114300" distR="114300" simplePos="0" relativeHeight="251666432" behindDoc="1" locked="0" layoutInCell="1" allowOverlap="1">
              <wp:simplePos x="0" y="0"/>
              <wp:positionH relativeFrom="page">
                <wp:posOffset>850900</wp:posOffset>
              </wp:positionH>
              <wp:positionV relativeFrom="page">
                <wp:posOffset>10148570</wp:posOffset>
              </wp:positionV>
              <wp:extent cx="5941060" cy="1270"/>
              <wp:effectExtent l="0" t="0" r="0" b="0"/>
              <wp:wrapNone/>
              <wp:docPr id="65" name="Freeform 65"/>
              <wp:cNvGraphicFramePr/>
              <a:graphic xmlns:a="http://schemas.openxmlformats.org/drawingml/2006/main">
                <a:graphicData uri="http://schemas.microsoft.com/office/word/2010/wordprocessingShape">
                  <wps:wsp>
                    <wps:cNvSpPr/>
                    <wps:spPr>
                      <a:xfrm>
                        <a:off x="0" y="0"/>
                        <a:ext cx="5941060" cy="1270"/>
                      </a:xfrm>
                      <a:custGeom>
                        <a:avLst/>
                        <a:gdLst/>
                        <a:ahLst/>
                        <a:cxnLst/>
                        <a:rect l="l" t="t" r="r" b="b"/>
                        <a:pathLst>
                          <a:path w="5941060">
                            <a:moveTo>
                              <a:pt x="0" y="0"/>
                            </a:moveTo>
                            <a:lnTo>
                              <a:pt x="5940793" y="0"/>
                            </a:lnTo>
                          </a:path>
                        </a:pathLst>
                      </a:custGeom>
                      <a:noFill/>
                      <a:ln w="6870">
                        <a:solidFill>
                          <a:srgbClr val="000000"/>
                        </a:solidFill>
                        <a:prstDash val="solid"/>
                      </a:ln>
                      <a:effectLst/>
                    </wps:spPr>
                    <wps:bodyPr wrap="square" lIns="0" tIns="0" rIns="0" bIns="0" rtlCol="0">
                      <a:noAutofit/>
                    </wps:bodyPr>
                  </wps:wsp>
                </a:graphicData>
              </a:graphic>
            </wp:anchor>
          </w:drawing>
        </mc:Choice>
        <mc:Fallback>
          <w:pict>
            <v:shape id="_x0000_s1026" o:spid="_x0000_s1026" o:spt="100" style="position:absolute;left:0pt;margin-left:67pt;margin-top:799.1pt;height:0.1pt;width:467.8pt;mso-position-horizontal-relative:page;mso-position-vertical-relative:page;z-index:-251650048;mso-width-relative:page;mso-height-relative:page;" filled="f" stroked="t" coordsize="5941060,1" o:gfxdata="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15N32gAAAA4BAAAPAAAAAAAAAAEAIAAAACIAAABkcnMvZG93bnJldi54bWxQSwECFAAUAAAACACH&#10;TuJA7QBEmCICAACWBAAADgAAAAAAAAABACAAAAApAQAAZHJzL2Uyb0RvYy54bWxQSwUGAAAAAAYA&#10;BgBZAQAAvQUAAAAA&#10;" path="m0,0l5940793,0e">
              <v:fill on="f" focussize="0,0"/>
              <v:stroke weight="0.540944881889764pt" color="#000000" joinstyle="round"/>
              <v:imagedata o:title=""/>
              <o:lock v:ext="edit" aspectratio="f"/>
              <v:textbox inset="0mm,0mm,0mm,0mm"/>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878205</wp:posOffset>
              </wp:positionH>
              <wp:positionV relativeFrom="page">
                <wp:posOffset>10173335</wp:posOffset>
              </wp:positionV>
              <wp:extent cx="907415" cy="13843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07415" cy="138430"/>
                      </a:xfrm>
                      <a:prstGeom prst="rect">
                        <a:avLst/>
                      </a:prstGeom>
                      <a:noFill/>
                      <a:ln>
                        <a:noFill/>
                      </a:ln>
                      <a:effectLst/>
                    </wps:spPr>
                    <wps:txbx>
                      <w:txbxContent>
                        <w:p w14:paraId="488B14C2">
                          <w:pPr>
                            <w:spacing w:before="13"/>
                            <w:ind w:left="20"/>
                            <w:rPr>
                              <w:rFonts w:ascii="Times New Roman"/>
                              <w:sz w:val="16"/>
                            </w:rPr>
                          </w:pPr>
                          <w:r>
                            <w:rPr>
                              <w:rFonts w:ascii="Times New Roman"/>
                              <w:sz w:val="16"/>
                            </w:rPr>
                            <w:t>MIBP/</w:t>
                          </w:r>
                          <w:r>
                            <w:rPr>
                              <w:rFonts w:ascii="Times New Roman"/>
                              <w:spacing w:val="16"/>
                              <w:sz w:val="16"/>
                            </w:rPr>
                            <w:t xml:space="preserve"> </w:t>
                          </w:r>
                          <w:r>
                            <w:rPr>
                              <w:rFonts w:ascii="Times New Roman"/>
                              <w:sz w:val="16"/>
                            </w:rPr>
                            <w:t>CES JV</w:t>
                          </w:r>
                        </w:p>
                      </w:txbxContent>
                    </wps:txbx>
                    <wps:bodyPr wrap="square" lIns="0" tIns="0" rIns="0" bIns="0" rtlCol="0">
                      <a:noAutofit/>
                    </wps:bodyPr>
                  </wps:wsp>
                </a:graphicData>
              </a:graphic>
            </wp:anchor>
          </w:drawing>
        </mc:Choice>
        <mc:Fallback>
          <w:pict>
            <v:shape id="_x0000_s1026" o:spid="_x0000_s1026" o:spt="202" type="#_x0000_t202" style="position:absolute;left:0pt;margin-left:69.15pt;margin-top:801.05pt;height:10.9pt;width:71.45pt;mso-position-horizontal-relative:page;mso-position-vertical-relative:page;z-index:-251649024;mso-width-relative:page;mso-height-relative:page;" filled="f" stroked="f" coordsize="21600,21600" o:gfxdata="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GjuOtoAAAANAQAADwAAAAAAAAABACAAAAAiAAAAZHJzL2Rv&#10;d25yZXYueG1sUEsBAhQAFAAAAAgAh07iQPCzPbfGAQAApwMAAA4AAAAAAAAAAQAgAAAAKQEAAGRy&#10;cy9lMm9Eb2MueG1sUEsFBgAAAAAGAAYAWQEAAGEFAAAAAA==&#10;">
              <v:fill on="f" focussize="0,0"/>
              <v:stroke on="f"/>
              <v:imagedata o:title=""/>
              <o:lock v:ext="edit" aspectratio="f"/>
              <v:textbox inset="0mm,0mm,0mm,0mm">
                <w:txbxContent>
                  <w:p w14:paraId="488B14C2">
                    <w:pPr>
                      <w:spacing w:before="13"/>
                      <w:ind w:left="20"/>
                      <w:rPr>
                        <w:rFonts w:ascii="Times New Roman"/>
                        <w:sz w:val="16"/>
                      </w:rPr>
                    </w:pPr>
                    <w:r>
                      <w:rPr>
                        <w:rFonts w:ascii="Times New Roman"/>
                        <w:sz w:val="16"/>
                      </w:rPr>
                      <w:t>MIBP/</w:t>
                    </w:r>
                    <w:r>
                      <w:rPr>
                        <w:rFonts w:ascii="Times New Roman"/>
                        <w:spacing w:val="16"/>
                        <w:sz w:val="16"/>
                      </w:rPr>
                      <w:t xml:space="preserve"> </w:t>
                    </w:r>
                    <w:r>
                      <w:rPr>
                        <w:rFonts w:ascii="Times New Roman"/>
                        <w:sz w:val="16"/>
                      </w:rPr>
                      <w:t>CES JV</w:t>
                    </w:r>
                  </w:p>
                </w:txbxContent>
              </v:textbox>
            </v:shap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6619875</wp:posOffset>
              </wp:positionH>
              <wp:positionV relativeFrom="page">
                <wp:posOffset>10179685</wp:posOffset>
              </wp:positionV>
              <wp:extent cx="209550" cy="13208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09550" cy="132080"/>
                      </a:xfrm>
                      <a:prstGeom prst="rect">
                        <a:avLst/>
                      </a:prstGeom>
                      <a:noFill/>
                      <a:ln>
                        <a:noFill/>
                      </a:ln>
                      <a:effectLst/>
                    </wps:spPr>
                    <wps:txbx>
                      <w:txbxContent>
                        <w:p w14:paraId="4118E7AF">
                          <w:pPr>
                            <w:spacing w:before="15"/>
                            <w:ind w:left="20"/>
                            <w:rPr>
                              <w:sz w:val="15"/>
                            </w:rPr>
                          </w:pPr>
                          <w:r>
                            <w:rPr>
                              <w:spacing w:val="-10"/>
                              <w:w w:val="105"/>
                              <w:sz w:val="15"/>
                            </w:rPr>
                            <w:fldChar w:fldCharType="begin"/>
                          </w:r>
                          <w:r>
                            <w:rPr>
                              <w:spacing w:val="-10"/>
                              <w:w w:val="105"/>
                              <w:sz w:val="15"/>
                            </w:rPr>
                            <w:instrText xml:space="preserve"> PAGE </w:instrText>
                          </w:r>
                          <w:r>
                            <w:rPr>
                              <w:spacing w:val="-10"/>
                              <w:w w:val="105"/>
                              <w:sz w:val="15"/>
                            </w:rPr>
                            <w:fldChar w:fldCharType="separate"/>
                          </w:r>
                          <w:r>
                            <w:rPr>
                              <w:spacing w:val="-10"/>
                              <w:w w:val="105"/>
                              <w:sz w:val="15"/>
                            </w:rPr>
                            <w:t>2</w:t>
                          </w:r>
                          <w:r>
                            <w:rPr>
                              <w:spacing w:val="-10"/>
                              <w:w w:val="105"/>
                              <w:sz w:val="15"/>
                            </w:rPr>
                            <w:fldChar w:fldCharType="end"/>
                          </w:r>
                        </w:p>
                      </w:txbxContent>
                    </wps:txbx>
                    <wps:bodyPr wrap="square" lIns="0" tIns="0" rIns="0" bIns="0" rtlCol="0">
                      <a:noAutofit/>
                    </wps:bodyPr>
                  </wps:wsp>
                </a:graphicData>
              </a:graphic>
            </wp:anchor>
          </w:drawing>
        </mc:Choice>
        <mc:Fallback>
          <w:pict>
            <v:shape id="_x0000_s1026" o:spid="_x0000_s1026" o:spt="202" type="#_x0000_t202" style="position:absolute;left:0pt;margin-left:521.25pt;margin-top:801.55pt;height:10.4pt;width:16.5pt;mso-position-horizontal-relative:page;mso-position-vertical-relative:page;z-index:-251648000;mso-width-relative:page;mso-height-relative:page;" filled="f" stroked="f" coordsize="21600,21600" o:gfxdata="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M+f7NsAAAAPAQAADwAAAAAAAAABACAAAAAiAAAAZHJzL2Rv&#10;d25yZXYueG1sUEsBAhQAFAAAAAgAh07iQENTfYvFAQAApwMAAA4AAAAAAAAAAQAgAAAAKgEAAGRy&#10;cy9lMm9Eb2MueG1sUEsFBgAAAAAGAAYAWQEAAGEFAAAAAA==&#10;">
              <v:fill on="f" focussize="0,0"/>
              <v:stroke on="f"/>
              <v:imagedata o:title=""/>
              <o:lock v:ext="edit" aspectratio="f"/>
              <v:textbox inset="0mm,0mm,0mm,0mm">
                <w:txbxContent>
                  <w:p w14:paraId="4118E7AF">
                    <w:pPr>
                      <w:spacing w:before="15"/>
                      <w:ind w:left="20"/>
                      <w:rPr>
                        <w:sz w:val="15"/>
                      </w:rPr>
                    </w:pPr>
                    <w:r>
                      <w:rPr>
                        <w:spacing w:val="-10"/>
                        <w:w w:val="105"/>
                        <w:sz w:val="15"/>
                      </w:rPr>
                      <w:fldChar w:fldCharType="begin"/>
                    </w:r>
                    <w:r>
                      <w:rPr>
                        <w:spacing w:val="-10"/>
                        <w:w w:val="105"/>
                        <w:sz w:val="15"/>
                      </w:rPr>
                      <w:instrText xml:space="preserve"> PAGE </w:instrText>
                    </w:r>
                    <w:r>
                      <w:rPr>
                        <w:spacing w:val="-10"/>
                        <w:w w:val="105"/>
                        <w:sz w:val="15"/>
                      </w:rPr>
                      <w:fldChar w:fldCharType="separate"/>
                    </w:r>
                    <w:r>
                      <w:rPr>
                        <w:spacing w:val="-10"/>
                        <w:w w:val="105"/>
                        <w:sz w:val="15"/>
                      </w:rPr>
                      <w:t>2</w:t>
                    </w:r>
                    <w:r>
                      <w:rPr>
                        <w:spacing w:val="-10"/>
                        <w:w w:val="105"/>
                        <w:sz w:val="15"/>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5E024">
    <w:pPr>
      <w:pStyle w:val="8"/>
      <w:spacing w:line="14" w:lineRule="auto"/>
    </w:pPr>
    <w:r>
      <mc:AlternateContent>
        <mc:Choice Requires="wps">
          <w:drawing>
            <wp:anchor distT="0" distB="0" distL="114300" distR="114300" simplePos="0" relativeHeight="251669504" behindDoc="1" locked="0" layoutInCell="1" allowOverlap="1">
              <wp:simplePos x="0" y="0"/>
              <wp:positionH relativeFrom="page">
                <wp:posOffset>850900</wp:posOffset>
              </wp:positionH>
              <wp:positionV relativeFrom="page">
                <wp:posOffset>10148570</wp:posOffset>
              </wp:positionV>
              <wp:extent cx="5941060" cy="1270"/>
              <wp:effectExtent l="0" t="0" r="0" b="0"/>
              <wp:wrapNone/>
              <wp:docPr id="39" name="Freeform 39"/>
              <wp:cNvGraphicFramePr/>
              <a:graphic xmlns:a="http://schemas.openxmlformats.org/drawingml/2006/main">
                <a:graphicData uri="http://schemas.microsoft.com/office/word/2010/wordprocessingShape">
                  <wps:wsp>
                    <wps:cNvSpPr/>
                    <wps:spPr>
                      <a:xfrm>
                        <a:off x="0" y="0"/>
                        <a:ext cx="5941060" cy="1270"/>
                      </a:xfrm>
                      <a:custGeom>
                        <a:avLst/>
                        <a:gdLst/>
                        <a:ahLst/>
                        <a:cxnLst/>
                        <a:rect l="l" t="t" r="r" b="b"/>
                        <a:pathLst>
                          <a:path w="5941060">
                            <a:moveTo>
                              <a:pt x="0" y="0"/>
                            </a:moveTo>
                            <a:lnTo>
                              <a:pt x="5940793" y="0"/>
                            </a:lnTo>
                          </a:path>
                        </a:pathLst>
                      </a:custGeom>
                      <a:noFill/>
                      <a:ln w="6870">
                        <a:solidFill>
                          <a:srgbClr val="000000"/>
                        </a:solidFill>
                        <a:prstDash val="solid"/>
                      </a:ln>
                      <a:effectLst/>
                    </wps:spPr>
                    <wps:bodyPr wrap="square" lIns="0" tIns="0" rIns="0" bIns="0" rtlCol="0">
                      <a:noAutofit/>
                    </wps:bodyPr>
                  </wps:wsp>
                </a:graphicData>
              </a:graphic>
            </wp:anchor>
          </w:drawing>
        </mc:Choice>
        <mc:Fallback>
          <w:pict>
            <v:shape id="_x0000_s1026" o:spid="_x0000_s1026" o:spt="100" style="position:absolute;left:0pt;margin-left:67pt;margin-top:799.1pt;height:0.1pt;width:467.8pt;mso-position-horizontal-relative:page;mso-position-vertical-relative:page;z-index:-251646976;mso-width-relative:page;mso-height-relative:page;" filled="f" stroked="t" coordsize="5941060,1" o:gfxdata="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15N32gAAAA4BAAAPAAAAAAAAAAEAIAAAACIAAABkcnMvZG93bnJldi54bWxQSwECFAAUAAAACACH&#10;TuJASdKJjCICAACWBAAADgAAAAAAAAABACAAAAApAQAAZHJzL2Uyb0RvYy54bWxQSwUGAAAAAAYA&#10;BgBZAQAAvQUAAAAA&#10;" path="m0,0l5940793,0e">
              <v:fill on="f" focussize="0,0"/>
              <v:stroke weight="0.540944881889764pt" color="#000000" joinstyle="round"/>
              <v:imagedata o:title=""/>
              <o:lock v:ext="edit" aspectratio="f"/>
              <v:textbox inset="0mm,0mm,0mm,0mm"/>
            </v:shape>
          </w:pict>
        </mc:Fallback>
      </mc:AlternateContent>
    </w:r>
    <w:r>
      <mc:AlternateContent>
        <mc:Choice Requires="wps">
          <w:drawing>
            <wp:anchor distT="0" distB="0" distL="114300" distR="114300" simplePos="0" relativeHeight="251670528" behindDoc="1" locked="0" layoutInCell="1" allowOverlap="1">
              <wp:simplePos x="0" y="0"/>
              <wp:positionH relativeFrom="page">
                <wp:posOffset>878205</wp:posOffset>
              </wp:positionH>
              <wp:positionV relativeFrom="page">
                <wp:posOffset>10173335</wp:posOffset>
              </wp:positionV>
              <wp:extent cx="907415" cy="13843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07415" cy="138430"/>
                      </a:xfrm>
                      <a:prstGeom prst="rect">
                        <a:avLst/>
                      </a:prstGeom>
                      <a:noFill/>
                      <a:ln>
                        <a:noFill/>
                      </a:ln>
                      <a:effectLst/>
                    </wps:spPr>
                    <wps:txbx>
                      <w:txbxContent>
                        <w:p w14:paraId="34EBA097">
                          <w:pPr>
                            <w:spacing w:before="13"/>
                            <w:ind w:left="20"/>
                            <w:rPr>
                              <w:rFonts w:ascii="Times New Roman"/>
                              <w:sz w:val="16"/>
                            </w:rPr>
                          </w:pPr>
                          <w:r>
                            <w:rPr>
                              <w:rFonts w:ascii="Times New Roman"/>
                              <w:sz w:val="16"/>
                            </w:rPr>
                            <w:t>MIBP/</w:t>
                          </w:r>
                          <w:r>
                            <w:rPr>
                              <w:rFonts w:ascii="Times New Roman"/>
                              <w:spacing w:val="16"/>
                              <w:sz w:val="16"/>
                            </w:rPr>
                            <w:t xml:space="preserve"> </w:t>
                          </w:r>
                          <w:r>
                            <w:rPr>
                              <w:rFonts w:ascii="Times New Roman"/>
                              <w:sz w:val="16"/>
                            </w:rPr>
                            <w:t>CES JV</w:t>
                          </w:r>
                        </w:p>
                      </w:txbxContent>
                    </wps:txbx>
                    <wps:bodyPr wrap="square" lIns="0" tIns="0" rIns="0" bIns="0" rtlCol="0">
                      <a:noAutofit/>
                    </wps:bodyPr>
                  </wps:wsp>
                </a:graphicData>
              </a:graphic>
            </wp:anchor>
          </w:drawing>
        </mc:Choice>
        <mc:Fallback>
          <w:pict>
            <v:shape id="_x0000_s1026" o:spid="_x0000_s1026" o:spt="202" type="#_x0000_t202" style="position:absolute;left:0pt;margin-left:69.15pt;margin-top:801.05pt;height:10.9pt;width:71.45pt;mso-position-horizontal-relative:page;mso-position-vertical-relative:page;z-index:-251645952;mso-width-relative:page;mso-height-relative:page;" filled="f" stroked="f" coordsize="21600,21600" o:gfxdata="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GjuOtoAAAANAQAADwAAAAAAAAABACAAAAAiAAAAZHJzL2Rv&#10;d25yZXYueG1sUEsBAhQAFAAAAAgAh07iQNwP3jvGAQAApwMAAA4AAAAAAAAAAQAgAAAAKQEAAGRy&#10;cy9lMm9Eb2MueG1sUEsFBgAAAAAGAAYAWQEAAGEFAAAAAA==&#10;">
              <v:fill on="f" focussize="0,0"/>
              <v:stroke on="f"/>
              <v:imagedata o:title=""/>
              <o:lock v:ext="edit" aspectratio="f"/>
              <v:textbox inset="0mm,0mm,0mm,0mm">
                <w:txbxContent>
                  <w:p w14:paraId="34EBA097">
                    <w:pPr>
                      <w:spacing w:before="13"/>
                      <w:ind w:left="20"/>
                      <w:rPr>
                        <w:rFonts w:ascii="Times New Roman"/>
                        <w:sz w:val="16"/>
                      </w:rPr>
                    </w:pPr>
                    <w:r>
                      <w:rPr>
                        <w:rFonts w:ascii="Times New Roman"/>
                        <w:sz w:val="16"/>
                      </w:rPr>
                      <w:t>MIBP/</w:t>
                    </w:r>
                    <w:r>
                      <w:rPr>
                        <w:rFonts w:ascii="Times New Roman"/>
                        <w:spacing w:val="16"/>
                        <w:sz w:val="16"/>
                      </w:rPr>
                      <w:t xml:space="preserve"> </w:t>
                    </w:r>
                    <w:r>
                      <w:rPr>
                        <w:rFonts w:ascii="Times New Roman"/>
                        <w:sz w:val="16"/>
                      </w:rPr>
                      <w:t>CES JV</w:t>
                    </w:r>
                  </w:p>
                </w:txbxContent>
              </v:textbox>
            </v:shape>
          </w:pict>
        </mc:Fallback>
      </mc:AlternateContent>
    </w:r>
    <w:r>
      <mc:AlternateContent>
        <mc:Choice Requires="wps">
          <w:drawing>
            <wp:anchor distT="0" distB="0" distL="114300" distR="114300" simplePos="0" relativeHeight="251671552" behindDoc="1" locked="0" layoutInCell="1" allowOverlap="1">
              <wp:simplePos x="0" y="0"/>
              <wp:positionH relativeFrom="page">
                <wp:posOffset>6619875</wp:posOffset>
              </wp:positionH>
              <wp:positionV relativeFrom="page">
                <wp:posOffset>10179685</wp:posOffset>
              </wp:positionV>
              <wp:extent cx="209550" cy="13208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09550" cy="132080"/>
                      </a:xfrm>
                      <a:prstGeom prst="rect">
                        <a:avLst/>
                      </a:prstGeom>
                      <a:noFill/>
                      <a:ln>
                        <a:noFill/>
                      </a:ln>
                      <a:effectLst/>
                    </wps:spPr>
                    <wps:txbx>
                      <w:txbxContent>
                        <w:p w14:paraId="1AFD0AB9">
                          <w:pPr>
                            <w:spacing w:before="15"/>
                            <w:ind w:left="20"/>
                            <w:rPr>
                              <w:sz w:val="15"/>
                            </w:rPr>
                          </w:pPr>
                          <w:r>
                            <w:rPr>
                              <w:spacing w:val="-10"/>
                              <w:w w:val="105"/>
                              <w:sz w:val="15"/>
                            </w:rPr>
                            <w:fldChar w:fldCharType="begin"/>
                          </w:r>
                          <w:r>
                            <w:rPr>
                              <w:spacing w:val="-10"/>
                              <w:w w:val="105"/>
                              <w:sz w:val="15"/>
                            </w:rPr>
                            <w:instrText xml:space="preserve"> PAGE </w:instrText>
                          </w:r>
                          <w:r>
                            <w:rPr>
                              <w:spacing w:val="-10"/>
                              <w:w w:val="105"/>
                              <w:sz w:val="15"/>
                            </w:rPr>
                            <w:fldChar w:fldCharType="separate"/>
                          </w:r>
                          <w:r>
                            <w:rPr>
                              <w:spacing w:val="-10"/>
                              <w:w w:val="105"/>
                              <w:sz w:val="15"/>
                            </w:rPr>
                            <w:t>32</w:t>
                          </w:r>
                          <w:r>
                            <w:rPr>
                              <w:spacing w:val="-10"/>
                              <w:w w:val="105"/>
                              <w:sz w:val="15"/>
                            </w:rPr>
                            <w:fldChar w:fldCharType="end"/>
                          </w:r>
                        </w:p>
                      </w:txbxContent>
                    </wps:txbx>
                    <wps:bodyPr wrap="square" lIns="0" tIns="0" rIns="0" bIns="0" rtlCol="0">
                      <a:noAutofit/>
                    </wps:bodyPr>
                  </wps:wsp>
                </a:graphicData>
              </a:graphic>
            </wp:anchor>
          </w:drawing>
        </mc:Choice>
        <mc:Fallback>
          <w:pict>
            <v:shape id="_x0000_s1026" o:spid="_x0000_s1026" o:spt="202" type="#_x0000_t202" style="position:absolute;left:0pt;margin-left:521.25pt;margin-top:801.55pt;height:10.4pt;width:16.5pt;mso-position-horizontal-relative:page;mso-position-vertical-relative:page;z-index:-251644928;mso-width-relative:page;mso-height-relative:page;" filled="f" stroked="f" coordsize="21600,21600" o:gfxdata="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M+f7NsAAAAPAQAADwAAAAAAAAABACAAAAAiAAAAZHJzL2Rv&#10;d25yZXYueG1sUEsBAhQAFAAAAAgAh07iQLBeLrTFAQAApwMAAA4AAAAAAAAAAQAgAAAAKgEAAGRy&#10;cy9lMm9Eb2MueG1sUEsFBgAAAAAGAAYAWQEAAGEFAAAAAA==&#10;">
              <v:fill on="f" focussize="0,0"/>
              <v:stroke on="f"/>
              <v:imagedata o:title=""/>
              <o:lock v:ext="edit" aspectratio="f"/>
              <v:textbox inset="0mm,0mm,0mm,0mm">
                <w:txbxContent>
                  <w:p w14:paraId="1AFD0AB9">
                    <w:pPr>
                      <w:spacing w:before="15"/>
                      <w:ind w:left="20"/>
                      <w:rPr>
                        <w:sz w:val="15"/>
                      </w:rPr>
                    </w:pPr>
                    <w:r>
                      <w:rPr>
                        <w:spacing w:val="-10"/>
                        <w:w w:val="105"/>
                        <w:sz w:val="15"/>
                      </w:rPr>
                      <w:fldChar w:fldCharType="begin"/>
                    </w:r>
                    <w:r>
                      <w:rPr>
                        <w:spacing w:val="-10"/>
                        <w:w w:val="105"/>
                        <w:sz w:val="15"/>
                      </w:rPr>
                      <w:instrText xml:space="preserve"> PAGE </w:instrText>
                    </w:r>
                    <w:r>
                      <w:rPr>
                        <w:spacing w:val="-10"/>
                        <w:w w:val="105"/>
                        <w:sz w:val="15"/>
                      </w:rPr>
                      <w:fldChar w:fldCharType="separate"/>
                    </w:r>
                    <w:r>
                      <w:rPr>
                        <w:spacing w:val="-10"/>
                        <w:w w:val="105"/>
                        <w:sz w:val="15"/>
                      </w:rPr>
                      <w:t>32</w:t>
                    </w:r>
                    <w:r>
                      <w:rPr>
                        <w:spacing w:val="-10"/>
                        <w:w w:val="105"/>
                        <w:sz w:val="15"/>
                      </w:rPr>
                      <w:fldChar w:fldCharType="end"/>
                    </w:r>
                  </w:p>
                </w:txbxContent>
              </v:textbox>
            </v:shape>
          </w:pict>
        </mc:Fallback>
      </mc:AlternateContent>
    </w:r>
  </w:p>
  <w:p w14:paraId="74F4A608">
    <w:pPr>
      <w:pStyle w:val="14"/>
      <w:tabs>
        <w:tab w:val="center" w:pos="4820"/>
        <w:tab w:val="right" w:pos="9923"/>
        <w:tab w:val="clear" w:pos="4513"/>
        <w:tab w:val="clear"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6360D">
    <w:pPr>
      <w:pStyle w:val="15"/>
      <w:jc w:val="both"/>
      <w:rPr>
        <w:rFonts w:ascii="Arial Narrow" w:hAnsi="Arial Narrow" w:cs="Tahoma"/>
        <w:b/>
        <w:bCs/>
        <w:i/>
        <w:iCs/>
        <w:sz w:val="14"/>
        <w:szCs w:val="14"/>
      </w:rPr>
    </w:pPr>
    <w:r>
      <w:rPr>
        <w:rFonts w:ascii="Arial Narrow" w:hAnsi="Arial Narrow" w:cs="Tahoma"/>
        <w:b/>
        <w:bCs/>
        <w:i/>
        <w:iCs/>
        <w:sz w:val="14"/>
        <w:szCs w:val="14"/>
      </w:rPr>
      <w:t>SUMMARY PROJECT REPORT FOR THE PROPOSED CONSTRUCTION OF</w:t>
    </w:r>
  </w:p>
  <w:p w14:paraId="605458E1">
    <w:pPr>
      <w:pStyle w:val="15"/>
      <w:jc w:val="both"/>
      <w:rPr>
        <w:rFonts w:ascii="Tahoma" w:hAnsi="Tahoma" w:cs="Tahoma"/>
        <w:b/>
        <w:bCs/>
        <w:i/>
        <w:iCs/>
        <w:sz w:val="14"/>
        <w:szCs w:val="14"/>
      </w:rPr>
    </w:pPr>
    <w:r>
      <w:rPr>
        <w:rFonts w:ascii="Arial Narrow" w:hAnsi="Arial Narrow" w:cs="Tahoma"/>
        <w:b/>
        <w:bCs/>
        <w:i/>
        <w:iCs/>
        <w:sz w:val="14"/>
        <w:szCs w:val="14"/>
      </w:rPr>
      <w:t>1NR ABLUTION BLOCK IN KIMAWASCO HEAD OFFICE, KILIFI COUNTY</w:t>
    </w:r>
    <w:r>
      <w:rPr>
        <w:rFonts w:ascii="Tahoma" w:hAnsi="Tahoma" w:cs="Tahoma"/>
        <w:b/>
        <w:bCs/>
        <w:i/>
        <w:iCs/>
        <w:sz w:val="14"/>
        <w:szCs w:val="1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BF15D">
    <w:pPr>
      <w:pStyle w:val="15"/>
      <w:rPr>
        <w:rFonts w:ascii="Tahoma" w:hAnsi="Tahoma" w:cs="Tahoma"/>
        <w:b/>
        <w:bCs/>
        <w:i/>
        <w:iCs/>
        <w:sz w:val="14"/>
        <w:szCs w:val="14"/>
      </w:rPr>
    </w:pPr>
    <w:r>
      <w:rPr>
        <w:rFonts w:ascii="Tahoma" w:hAnsi="Tahoma" w:cs="Tahoma"/>
        <w:b/>
        <w:bCs/>
        <w:i/>
        <w:iCs/>
        <w:sz w:val="14"/>
        <w:szCs w:val="14"/>
      </w:rPr>
      <w:t>SUMMARY PROJECT REPORT FOR THE PROPOSED CONSTRUCTION OF</w:t>
    </w:r>
  </w:p>
  <w:p w14:paraId="437770B3">
    <w:pPr>
      <w:pStyle w:val="15"/>
    </w:pPr>
    <w:r>
      <w:rPr>
        <w:rFonts w:ascii="Tahoma" w:hAnsi="Tahoma" w:cs="Tahoma"/>
        <w:b/>
        <w:bCs/>
        <w:i/>
        <w:iCs/>
        <w:sz w:val="14"/>
        <w:szCs w:val="14"/>
      </w:rPr>
      <w:t>1NR ABLUTION BLOCK IN KIMAWASCO HEAD OFFICE, KILIFI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979ED">
    <w:pPr>
      <w:pStyle w:val="15"/>
      <w:rPr>
        <w:rFonts w:ascii="Tahoma" w:hAnsi="Tahoma" w:cs="Tahoma"/>
        <w:b/>
        <w:bCs/>
        <w:i/>
        <w:iCs/>
        <w:sz w:val="14"/>
        <w:szCs w:val="14"/>
      </w:rPr>
    </w:pPr>
    <w:r>
      <w:rPr>
        <w:rFonts w:ascii="Tahoma" w:hAnsi="Tahoma" w:cs="Tahoma"/>
        <w:b/>
        <w:bCs/>
        <w:i/>
        <w:iCs/>
        <w:sz w:val="14"/>
        <w:szCs w:val="14"/>
      </w:rPr>
      <w:t>SUMMARY PROJECT REPORT FOR THE PROPOSED CONSTRUCTION OF</w:t>
    </w:r>
  </w:p>
  <w:p w14:paraId="74274D9D">
    <w:pPr>
      <w:pStyle w:val="15"/>
      <w:rPr>
        <w:b/>
        <w:i/>
        <w:color w:val="A5A5A5"/>
      </w:rPr>
    </w:pPr>
    <w:r>
      <w:rPr>
        <w:rFonts w:ascii="Tahoma" w:hAnsi="Tahoma" w:cs="Tahoma"/>
        <w:b/>
        <w:bCs/>
        <w:i/>
        <w:iCs/>
        <w:sz w:val="14"/>
        <w:szCs w:val="14"/>
      </w:rPr>
      <w:t>1NR ABLUTION BLOCK IN KIMAWASCO HEAD OFFICE, KILIFI COUNTY</w:t>
    </w:r>
    <w:r>
      <w:rPr>
        <w:b/>
        <w:i/>
        <w:color w:val="A5A5A5"/>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9270"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70"/>
      <w:gridCol w:w="3600"/>
    </w:tblGrid>
    <w:tr w14:paraId="5C1D55A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670" w:type="dxa"/>
        </w:tcPr>
        <w:p w14:paraId="62CF5875">
          <w:pPr>
            <w:pStyle w:val="15"/>
            <w:rPr>
              <w:rFonts w:ascii="Tahoma" w:hAnsi="Tahoma" w:cs="Tahoma"/>
              <w:b/>
              <w:bCs/>
              <w:i/>
              <w:iCs/>
              <w:sz w:val="14"/>
              <w:szCs w:val="14"/>
            </w:rPr>
          </w:pPr>
          <w:r>
            <w:rPr>
              <w:rFonts w:cs="Arial"/>
              <w:b/>
              <w:sz w:val="16"/>
              <w:szCs w:val="12"/>
            </w:rPr>
            <w:t xml:space="preserve"> </w:t>
          </w:r>
          <w:r>
            <w:rPr>
              <w:rFonts w:ascii="Tahoma" w:hAnsi="Tahoma" w:cs="Tahoma"/>
              <w:b/>
              <w:bCs/>
              <w:i/>
              <w:iCs/>
              <w:sz w:val="14"/>
              <w:szCs w:val="14"/>
            </w:rPr>
            <w:t>SUMMARY PROJECT REPORT FOR THE PROPOSED CONSTRUCTION OF</w:t>
          </w:r>
        </w:p>
        <w:p w14:paraId="478171DF">
          <w:pPr>
            <w:pStyle w:val="15"/>
            <w:tabs>
              <w:tab w:val="center" w:pos="4820"/>
              <w:tab w:val="right" w:pos="9639"/>
              <w:tab w:val="clear" w:pos="4513"/>
              <w:tab w:val="clear" w:pos="9026"/>
            </w:tabs>
            <w:rPr>
              <w:rFonts w:cs="Arial"/>
              <w:b/>
              <w:sz w:val="16"/>
              <w:szCs w:val="12"/>
            </w:rPr>
          </w:pPr>
          <w:r>
            <w:rPr>
              <w:rFonts w:ascii="Tahoma" w:hAnsi="Tahoma" w:cs="Tahoma"/>
              <w:b/>
              <w:bCs/>
              <w:i/>
              <w:iCs/>
              <w:sz w:val="14"/>
              <w:szCs w:val="14"/>
            </w:rPr>
            <w:t>1NR ABLUTION BLOCK IN KIMAWASCO HEAD OFFICE, KILIFI COUNTY</w:t>
          </w:r>
        </w:p>
      </w:tc>
      <w:tc>
        <w:tcPr>
          <w:tcW w:w="3600" w:type="dxa"/>
        </w:tcPr>
        <w:p w14:paraId="4BFA4B08">
          <w:pPr>
            <w:pStyle w:val="15"/>
            <w:tabs>
              <w:tab w:val="center" w:pos="4820"/>
              <w:tab w:val="right" w:pos="9639"/>
              <w:tab w:val="clear" w:pos="4513"/>
              <w:tab w:val="clear" w:pos="9026"/>
            </w:tabs>
            <w:ind w:left="246" w:hanging="540"/>
            <w:rPr>
              <w:rFonts w:cs="Arial"/>
              <w:b/>
              <w:sz w:val="17"/>
              <w:szCs w:val="17"/>
            </w:rPr>
          </w:pPr>
          <w:r>
            <w:rPr>
              <w:rFonts w:cs="Arial"/>
              <w:b/>
              <w:sz w:val="17"/>
              <w:szCs w:val="17"/>
            </w:rPr>
            <w:t xml:space="preserve">                        </w:t>
          </w:r>
        </w:p>
      </w:tc>
    </w:tr>
  </w:tbl>
  <w:p w14:paraId="6C6B1EFC">
    <w:pPr>
      <w:pStyle w:val="15"/>
      <w:tabs>
        <w:tab w:val="center" w:pos="4820"/>
        <w:tab w:val="right" w:pos="9639"/>
        <w:tab w:val="clear" w:pos="4513"/>
        <w:tab w:val="clear" w:pos="9026"/>
      </w:tabs>
      <w:rPr>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44FC4">
    <w:pPr>
      <w:pStyle w:val="8"/>
      <w:spacing w:line="14" w:lineRule="auto"/>
    </w:pPr>
    <w:r>
      <mc:AlternateContent>
        <mc:Choice Requires="wps">
          <w:drawing>
            <wp:anchor distT="0" distB="0" distL="114300" distR="114300" simplePos="0" relativeHeight="251662336" behindDoc="1" locked="0" layoutInCell="1" allowOverlap="1">
              <wp:simplePos x="0" y="0"/>
              <wp:positionH relativeFrom="page">
                <wp:posOffset>878205</wp:posOffset>
              </wp:positionH>
              <wp:positionV relativeFrom="page">
                <wp:posOffset>779780</wp:posOffset>
              </wp:positionV>
              <wp:extent cx="5968365" cy="1270"/>
              <wp:effectExtent l="0" t="0" r="0" b="0"/>
              <wp:wrapNone/>
              <wp:docPr id="57" name="Freeform 57"/>
              <wp:cNvGraphicFramePr/>
              <a:graphic xmlns:a="http://schemas.openxmlformats.org/drawingml/2006/main">
                <a:graphicData uri="http://schemas.microsoft.com/office/word/2010/wordprocessingShape">
                  <wps:wsp>
                    <wps:cNvSpPr/>
                    <wps:spPr>
                      <a:xfrm>
                        <a:off x="0" y="0"/>
                        <a:ext cx="5968365" cy="1270"/>
                      </a:xfrm>
                      <a:custGeom>
                        <a:avLst/>
                        <a:gdLst/>
                        <a:ahLst/>
                        <a:cxnLst/>
                        <a:rect l="l" t="t" r="r" b="b"/>
                        <a:pathLst>
                          <a:path w="5968365">
                            <a:moveTo>
                              <a:pt x="0" y="0"/>
                            </a:moveTo>
                            <a:lnTo>
                              <a:pt x="5968255" y="0"/>
                            </a:lnTo>
                          </a:path>
                        </a:pathLst>
                      </a:custGeom>
                      <a:noFill/>
                      <a:ln w="6870">
                        <a:solidFill>
                          <a:srgbClr val="000000"/>
                        </a:solidFill>
                        <a:prstDash val="solid"/>
                      </a:ln>
                      <a:effectLst/>
                    </wps:spPr>
                    <wps:bodyPr wrap="square" lIns="0" tIns="0" rIns="0" bIns="0" rtlCol="0">
                      <a:noAutofit/>
                    </wps:bodyPr>
                  </wps:wsp>
                </a:graphicData>
              </a:graphic>
            </wp:anchor>
          </w:drawing>
        </mc:Choice>
        <mc:Fallback>
          <w:pict>
            <v:shape id="_x0000_s1026" o:spid="_x0000_s1026" o:spt="100" style="position:absolute;left:0pt;margin-left:69.15pt;margin-top:61.4pt;height:0.1pt;width:469.95pt;mso-position-horizontal-relative:page;mso-position-vertical-relative:page;z-index:-251654144;mso-width-relative:page;mso-height-relative:page;" filled="f" stroked="t" coordsize="5968365,1" o:gfxdata="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DbNm1gAA&#10;AAwBAAAPAAAAAAAAAAEAIAAAACIAAABkcnMvZG93bnJldi54bWxQSwECFAAUAAAACACHTuJAB2jp&#10;hyACAACWBAAADgAAAAAAAAABACAAAAAlAQAAZHJzL2Uyb0RvYy54bWxQSwUGAAAAAAYABgBZAQAA&#10;twUAAAAA&#10;" path="m0,0l5968255,0e">
              <v:fill on="f" focussize="0,0"/>
              <v:stroke weight="0.540944881889764pt" color="#000000" joinstyle="round"/>
              <v:imagedata o:title=""/>
              <o:lock v:ext="edit" aspectratio="f"/>
              <v:textbox inset="0mm,0mm,0mm,0mm"/>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894715</wp:posOffset>
              </wp:positionH>
              <wp:positionV relativeFrom="page">
                <wp:posOffset>521335</wp:posOffset>
              </wp:positionV>
              <wp:extent cx="3721735" cy="24892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721735" cy="248920"/>
                      </a:xfrm>
                      <a:prstGeom prst="rect">
                        <a:avLst/>
                      </a:prstGeom>
                      <a:noFill/>
                      <a:ln>
                        <a:noFill/>
                      </a:ln>
                      <a:effectLst/>
                    </wps:spPr>
                    <wps:txbx>
                      <w:txbxContent>
                        <w:p w14:paraId="57273989">
                          <w:pPr>
                            <w:spacing w:before="2" w:line="290" w:lineRule="auto"/>
                            <w:ind w:left="23" w:right="18" w:hanging="4"/>
                            <w:rPr>
                              <w:sz w:val="14"/>
                            </w:rPr>
                          </w:pPr>
                          <w:r>
                            <w:rPr>
                              <w:sz w:val="14"/>
                            </w:rPr>
                            <w:t>Construction of 12Nr Ablution Blocks</w:t>
                          </w:r>
                        </w:p>
                      </w:txbxContent>
                    </wps:txbx>
                    <wps:bodyPr wrap="square" lIns="0" tIns="0" rIns="0" bIns="0" rtlCol="0">
                      <a:noAutofit/>
                    </wps:bodyPr>
                  </wps:wsp>
                </a:graphicData>
              </a:graphic>
            </wp:anchor>
          </w:drawing>
        </mc:Choice>
        <mc:Fallback>
          <w:pict>
            <v:shape id="_x0000_s1026" o:spid="_x0000_s1026" o:spt="202" type="#_x0000_t202" style="position:absolute;left:0pt;margin-left:70.45pt;margin-top:41.05pt;height:19.6pt;width:293.05pt;mso-position-horizontal-relative:page;mso-position-vertical-relative:page;z-index:-251652096;mso-width-relative:page;mso-height-relative:page;" filled="f" stroked="f" coordsize="21600,21600" o:gfxdata="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cDQrn2AAAAAoBAAAPAAAAAAAAAAEAIAAAACIAAABkcnMvZG93&#10;bnJldi54bWxQSwECFAAUAAAACACHTuJAm4y/AMcBAACoAwAADgAAAAAAAAABACAAAAAnAQAAZHJz&#10;L2Uyb0RvYy54bWxQSwUGAAAAAAYABgBZAQAAYAUAAAAA&#10;">
              <v:fill on="f" focussize="0,0"/>
              <v:stroke on="f"/>
              <v:imagedata o:title=""/>
              <o:lock v:ext="edit" aspectratio="f"/>
              <v:textbox inset="0mm,0mm,0mm,0mm">
                <w:txbxContent>
                  <w:p w14:paraId="57273989">
                    <w:pPr>
                      <w:spacing w:before="2" w:line="290" w:lineRule="auto"/>
                      <w:ind w:left="23" w:right="18" w:hanging="4"/>
                      <w:rPr>
                        <w:sz w:val="14"/>
                      </w:rPr>
                    </w:pPr>
                    <w:r>
                      <w:rPr>
                        <w:sz w:val="14"/>
                      </w:rPr>
                      <w:t>Construction of 12Nr Ablution Blocks</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4979035</wp:posOffset>
              </wp:positionH>
              <wp:positionV relativeFrom="page">
                <wp:posOffset>527050</wp:posOffset>
              </wp:positionV>
              <wp:extent cx="1829435" cy="24384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9435" cy="243840"/>
                      </a:xfrm>
                      <a:prstGeom prst="rect">
                        <a:avLst/>
                      </a:prstGeom>
                      <a:noFill/>
                      <a:ln>
                        <a:noFill/>
                      </a:ln>
                      <a:effectLst/>
                    </wps:spPr>
                    <wps:txbx>
                      <w:txbxContent>
                        <w:p w14:paraId="54FE2B2B">
                          <w:pPr>
                            <w:spacing w:before="16"/>
                            <w:ind w:right="21"/>
                            <w:jc w:val="right"/>
                            <w:rPr>
                              <w:b/>
                              <w:sz w:val="13"/>
                            </w:rPr>
                          </w:pPr>
                          <w:r>
                            <w:rPr>
                              <w:b/>
                              <w:spacing w:val="-2"/>
                              <w:w w:val="90"/>
                              <w:sz w:val="13"/>
                            </w:rPr>
                            <w:t>DESIGN REPORT FOR KIMAWASCO ABLUTION BLOCK</w:t>
                          </w:r>
                        </w:p>
                      </w:txbxContent>
                    </wps:txbx>
                    <wps:bodyPr wrap="square" lIns="0" tIns="0" rIns="0" bIns="0" rtlCol="0">
                      <a:noAutofit/>
                    </wps:bodyPr>
                  </wps:wsp>
                </a:graphicData>
              </a:graphic>
            </wp:anchor>
          </w:drawing>
        </mc:Choice>
        <mc:Fallback>
          <w:pict>
            <v:shape id="_x0000_s1026" o:spid="_x0000_s1026" o:spt="202" type="#_x0000_t202" style="position:absolute;left:0pt;margin-left:392.05pt;margin-top:41.5pt;height:19.2pt;width:144.05pt;mso-position-horizontal-relative:page;mso-position-vertical-relative:page;z-index:-251651072;mso-width-relative:page;mso-height-relative:page;" filled="f" stroked="f" coordsize="21600,21600" o:gfxdata="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uQgT9kAAAALAQAADwAAAAAAAAABACAAAAAiAAAAZHJzL2Rvd25y&#10;ZXYueG1sUEsBAhQAFAAAAAgAh07iQLGkCkfEAQAAqAMAAA4AAAAAAAAAAQAgAAAAKAEAAGRycy9l&#10;Mm9Eb2MueG1sUEsFBgAAAAAGAAYAWQEAAF4FAAAAAA==&#10;">
              <v:fill on="f" focussize="0,0"/>
              <v:stroke on="f"/>
              <v:imagedata o:title=""/>
              <o:lock v:ext="edit" aspectratio="f"/>
              <v:textbox inset="0mm,0mm,0mm,0mm">
                <w:txbxContent>
                  <w:p w14:paraId="54FE2B2B">
                    <w:pPr>
                      <w:spacing w:before="16"/>
                      <w:ind w:right="21"/>
                      <w:jc w:val="right"/>
                      <w:rPr>
                        <w:b/>
                        <w:sz w:val="13"/>
                      </w:rPr>
                    </w:pPr>
                    <w:r>
                      <w:rPr>
                        <w:b/>
                        <w:spacing w:val="-2"/>
                        <w:w w:val="90"/>
                        <w:sz w:val="13"/>
                      </w:rPr>
                      <w:t>DESIGN REPORT FOR KIMAWASCO ABLUTION BLOCK</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3309C">
    <w:pPr>
      <w:pStyle w:val="8"/>
      <w:spacing w:line="14" w:lineRule="auto"/>
    </w:pPr>
    <w:r>
      <mc:AlternateContent>
        <mc:Choice Requires="wps">
          <w:drawing>
            <wp:anchor distT="0" distB="0" distL="114300" distR="114300" simplePos="0" relativeHeight="251663360" behindDoc="1" locked="0" layoutInCell="1" allowOverlap="1">
              <wp:simplePos x="0" y="0"/>
              <wp:positionH relativeFrom="page">
                <wp:posOffset>5162550</wp:posOffset>
              </wp:positionH>
              <wp:positionV relativeFrom="page">
                <wp:posOffset>331470</wp:posOffset>
              </wp:positionV>
              <wp:extent cx="1818005" cy="2343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18005" cy="234315"/>
                      </a:xfrm>
                      <a:prstGeom prst="rect">
                        <a:avLst/>
                      </a:prstGeom>
                      <a:noFill/>
                      <a:ln>
                        <a:noFill/>
                      </a:ln>
                      <a:effectLst/>
                    </wps:spPr>
                    <wps:txbx>
                      <w:txbxContent>
                        <w:p w14:paraId="1E023121">
                          <w:pPr>
                            <w:spacing w:before="16"/>
                            <w:ind w:right="18"/>
                            <w:jc w:val="right"/>
                            <w:rPr>
                              <w:b/>
                              <w:sz w:val="12"/>
                            </w:rPr>
                          </w:pPr>
                          <w:r>
                            <w:rPr>
                              <w:b/>
                              <w:spacing w:val="-4"/>
                              <w:sz w:val="12"/>
                            </w:rPr>
                            <w:t>DESIGN REPORT FOR KIMAWACO ABLUTION BLOCK</w:t>
                          </w:r>
                        </w:p>
                      </w:txbxContent>
                    </wps:txbx>
                    <wps:bodyPr wrap="square" lIns="0" tIns="0" rIns="0" bIns="0" rtlCol="0">
                      <a:noAutofit/>
                    </wps:bodyPr>
                  </wps:wsp>
                </a:graphicData>
              </a:graphic>
            </wp:anchor>
          </w:drawing>
        </mc:Choice>
        <mc:Fallback>
          <w:pict>
            <v:shape id="_x0000_s1026" o:spid="_x0000_s1026" o:spt="202" type="#_x0000_t202" style="position:absolute;left:0pt;margin-left:406.5pt;margin-top:26.1pt;height:18.45pt;width:143.15pt;mso-position-horizontal-relative:page;mso-position-vertical-relative:page;z-index:-251653120;mso-width-relative:page;mso-height-relative:page;" filled="f" stroked="f" coordsize="21600,21600" o:gfxdata="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yEsPtkAAAAKAQAADwAAAAAAAAABACAAAAAiAAAAZHJzL2Rvd25y&#10;ZXYueG1sUEsBAhQAFAAAAAgAh07iQLpOVyHEAQAAqAMAAA4AAAAAAAAAAQAgAAAAKAEAAGRycy9l&#10;Mm9Eb2MueG1sUEsFBgAAAAAGAAYAWQEAAF4FAAAAAA==&#10;">
              <v:fill on="f" focussize="0,0"/>
              <v:stroke on="f"/>
              <v:imagedata o:title=""/>
              <o:lock v:ext="edit" aspectratio="f"/>
              <v:textbox inset="0mm,0mm,0mm,0mm">
                <w:txbxContent>
                  <w:p w14:paraId="1E023121">
                    <w:pPr>
                      <w:spacing w:before="16"/>
                      <w:ind w:right="18"/>
                      <w:jc w:val="right"/>
                      <w:rPr>
                        <w:b/>
                        <w:sz w:val="12"/>
                      </w:rPr>
                    </w:pPr>
                    <w:r>
                      <w:rPr>
                        <w:b/>
                        <w:spacing w:val="-4"/>
                        <w:sz w:val="12"/>
                      </w:rPr>
                      <w:t>DESIGN REPORT FOR KIMAWACO ABLUTION BLOCK</w:t>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323215</wp:posOffset>
              </wp:positionH>
              <wp:positionV relativeFrom="page">
                <wp:posOffset>727075</wp:posOffset>
              </wp:positionV>
              <wp:extent cx="6726555" cy="45720"/>
              <wp:effectExtent l="0" t="0" r="0" b="0"/>
              <wp:wrapNone/>
              <wp:docPr id="42" name="Freeform 42"/>
              <wp:cNvGraphicFramePr/>
              <a:graphic xmlns:a="http://schemas.openxmlformats.org/drawingml/2006/main">
                <a:graphicData uri="http://schemas.microsoft.com/office/word/2010/wordprocessingShape">
                  <wps:wsp>
                    <wps:cNvSpPr/>
                    <wps:spPr>
                      <a:xfrm>
                        <a:off x="0" y="0"/>
                        <a:ext cx="6726555" cy="45719"/>
                      </a:xfrm>
                      <a:custGeom>
                        <a:avLst/>
                        <a:gdLst/>
                        <a:ahLst/>
                        <a:cxnLst/>
                        <a:rect l="l" t="t" r="r" b="b"/>
                        <a:pathLst>
                          <a:path w="9364980">
                            <a:moveTo>
                              <a:pt x="0" y="0"/>
                            </a:moveTo>
                            <a:lnTo>
                              <a:pt x="9364597" y="0"/>
                            </a:lnTo>
                          </a:path>
                        </a:pathLst>
                      </a:custGeom>
                      <a:noFill/>
                      <a:ln w="6868">
                        <a:solidFill>
                          <a:srgbClr val="000000"/>
                        </a:solidFill>
                        <a:prstDash val="solid"/>
                      </a:ln>
                      <a:effectLst/>
                    </wps:spPr>
                    <wps:bodyPr wrap="square" lIns="0" tIns="0" rIns="0" bIns="0" rtlCol="0">
                      <a:noAutofit/>
                    </wps:bodyPr>
                  </wps:wsp>
                </a:graphicData>
              </a:graphic>
            </wp:anchor>
          </w:drawing>
        </mc:Choice>
        <mc:Fallback>
          <w:pict>
            <v:shape id="_x0000_s1026" o:spid="_x0000_s1026" o:spt="100" style="position:absolute;left:0pt;margin-left:25.45pt;margin-top:57.25pt;height:3.6pt;width:529.65pt;mso-position-horizontal-relative:page;mso-position-vertical-relative:page;z-index:-251656192;mso-width-relative:page;mso-height-relative:page;" filled="f" stroked="t" coordsize="9364980,1" o:gfxdata="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OSXYn2AAAAAsBAAAPAAAAAAAAAAEAIAAAACIAAABkcnMvZG93bnJldi54bWxQSwECFAAUAAAA&#10;CACHTuJAGKOH0CcCAACXBAAADgAAAAAAAAABACAAAAAnAQAAZHJzL2Uyb0RvYy54bWxQSwUGAAAA&#10;AAYABgBZAQAAwAUAAAAA&#10;" path="m0,0l9364597,0e">
              <v:fill on="f" focussize="0,0"/>
              <v:stroke weight="0.540787401574803pt" color="#000000" joinstyle="round"/>
              <v:imagedata o:title=""/>
              <o:lock v:ext="edit" aspectratio="f"/>
              <v:textbox inset="0mm,0mm,0mm,0mm"/>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393065</wp:posOffset>
              </wp:positionH>
              <wp:positionV relativeFrom="page">
                <wp:posOffset>407670</wp:posOffset>
              </wp:positionV>
              <wp:extent cx="3728720" cy="24892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728720" cy="248920"/>
                      </a:xfrm>
                      <a:prstGeom prst="rect">
                        <a:avLst/>
                      </a:prstGeom>
                      <a:noFill/>
                      <a:ln>
                        <a:noFill/>
                      </a:ln>
                      <a:effectLst/>
                    </wps:spPr>
                    <wps:txbx>
                      <w:txbxContent>
                        <w:p w14:paraId="4E9CF1DD">
                          <w:pPr>
                            <w:spacing w:before="1" w:line="290" w:lineRule="auto"/>
                            <w:ind w:left="20" w:right="18" w:firstLine="7"/>
                            <w:rPr>
                              <w:sz w:val="14"/>
                            </w:rPr>
                          </w:pPr>
                          <w:r>
                            <w:rPr>
                              <w:w w:val="105"/>
                              <w:sz w:val="14"/>
                            </w:rPr>
                            <w:t>Construction of 12Nr Ablution Blocks</w:t>
                          </w:r>
                        </w:p>
                      </w:txbxContent>
                    </wps:txbx>
                    <wps:bodyPr wrap="square" lIns="0" tIns="0" rIns="0" bIns="0" rtlCol="0">
                      <a:noAutofit/>
                    </wps:bodyPr>
                  </wps:wsp>
                </a:graphicData>
              </a:graphic>
            </wp:anchor>
          </w:drawing>
        </mc:Choice>
        <mc:Fallback>
          <w:pict>
            <v:shape id="_x0000_s1026" o:spid="_x0000_s1026" o:spt="202" type="#_x0000_t202" style="position:absolute;left:0pt;margin-left:30.95pt;margin-top:32.1pt;height:19.6pt;width:293.6pt;mso-position-horizontal-relative:page;mso-position-vertical-relative:page;z-index:-251655168;mso-width-relative:page;mso-height-relative:page;" filled="f" stroked="f" coordsize="21600,21600" o:gfxdata="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rOMJW2AAAAAkBAAAPAAAAAAAAAAEAIAAAACIAAABkcnMvZG93bnJl&#10;di54bWxQSwECFAAUAAAACACHTuJAGHISmMQBAACoAwAADgAAAAAAAAABACAAAAAnAQAAZHJzL2Uy&#10;b0RvYy54bWxQSwUGAAAAAAYABgBZAQAAXQUAAAAA&#10;">
              <v:fill on="f" focussize="0,0"/>
              <v:stroke on="f"/>
              <v:imagedata o:title=""/>
              <o:lock v:ext="edit" aspectratio="f"/>
              <v:textbox inset="0mm,0mm,0mm,0mm">
                <w:txbxContent>
                  <w:p w14:paraId="4E9CF1DD">
                    <w:pPr>
                      <w:spacing w:before="1" w:line="290" w:lineRule="auto"/>
                      <w:ind w:left="20" w:right="18" w:firstLine="7"/>
                      <w:rPr>
                        <w:sz w:val="14"/>
                      </w:rPr>
                    </w:pPr>
                    <w:r>
                      <w:rPr>
                        <w:w w:val="105"/>
                        <w:sz w:val="14"/>
                      </w:rPr>
                      <w:t>Construction of 12Nr Ablution Blocks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A0B1B2"/>
    <w:multiLevelType w:val="singleLevel"/>
    <w:tmpl w:val="8DA0B1B2"/>
    <w:lvl w:ilvl="0" w:tentative="0">
      <w:start w:val="1"/>
      <w:numFmt w:val="decimal"/>
      <w:lvlText w:val="%1."/>
      <w:lvlJc w:val="left"/>
      <w:pPr>
        <w:tabs>
          <w:tab w:val="left" w:pos="425"/>
        </w:tabs>
        <w:ind w:left="425" w:hanging="425"/>
      </w:pPr>
      <w:rPr>
        <w:rFonts w:hint="default"/>
      </w:rPr>
    </w:lvl>
  </w:abstractNum>
  <w:abstractNum w:abstractNumId="1">
    <w:nsid w:val="BC328F5F"/>
    <w:multiLevelType w:val="multilevel"/>
    <w:tmpl w:val="BC328F5F"/>
    <w:lvl w:ilvl="0" w:tentative="0">
      <w:start w:val="1"/>
      <w:numFmt w:val="decimal"/>
      <w:lvlText w:val="%1."/>
      <w:lvlJc w:val="left"/>
      <w:pPr>
        <w:tabs>
          <w:tab w:val="left" w:pos="425"/>
        </w:tabs>
        <w:ind w:left="425" w:hanging="65"/>
      </w:pPr>
      <w:rPr>
        <w:rFonts w:hint="default"/>
      </w:rPr>
    </w:lvl>
    <w:lvl w:ilvl="1" w:tentative="0">
      <w:start w:val="1"/>
      <w:numFmt w:val="lowerLetter"/>
      <w:lvlText w:val="%2."/>
      <w:lvlJc w:val="left"/>
      <w:pPr>
        <w:tabs>
          <w:tab w:val="left" w:pos="425"/>
        </w:tabs>
        <w:ind w:left="425" w:firstLine="655"/>
      </w:pPr>
      <w:rPr>
        <w:rFonts w:hint="default"/>
      </w:rPr>
    </w:lvl>
    <w:lvl w:ilvl="2" w:tentative="0">
      <w:start w:val="1"/>
      <w:numFmt w:val="lowerRoman"/>
      <w:lvlText w:val="%3."/>
      <w:lvlJc w:val="right"/>
      <w:pPr>
        <w:tabs>
          <w:tab w:val="left" w:pos="425"/>
        </w:tabs>
        <w:ind w:left="425" w:firstLine="1555"/>
      </w:pPr>
      <w:rPr>
        <w:rFonts w:hint="default"/>
      </w:rPr>
    </w:lvl>
    <w:lvl w:ilvl="3" w:tentative="0">
      <w:start w:val="1"/>
      <w:numFmt w:val="decimal"/>
      <w:lvlText w:val="%4."/>
      <w:lvlJc w:val="left"/>
      <w:pPr>
        <w:tabs>
          <w:tab w:val="left" w:pos="425"/>
        </w:tabs>
        <w:ind w:left="425" w:firstLine="2095"/>
      </w:pPr>
      <w:rPr>
        <w:rFonts w:hint="default"/>
      </w:rPr>
    </w:lvl>
    <w:lvl w:ilvl="4" w:tentative="0">
      <w:start w:val="1"/>
      <w:numFmt w:val="lowerLetter"/>
      <w:lvlText w:val="%5."/>
      <w:lvlJc w:val="left"/>
      <w:pPr>
        <w:tabs>
          <w:tab w:val="left" w:pos="425"/>
        </w:tabs>
        <w:ind w:left="425" w:firstLine="2815"/>
      </w:pPr>
      <w:rPr>
        <w:rFonts w:hint="default"/>
      </w:rPr>
    </w:lvl>
    <w:lvl w:ilvl="5" w:tentative="0">
      <w:start w:val="1"/>
      <w:numFmt w:val="lowerRoman"/>
      <w:lvlText w:val="%6."/>
      <w:lvlJc w:val="right"/>
      <w:pPr>
        <w:tabs>
          <w:tab w:val="left" w:pos="425"/>
        </w:tabs>
        <w:ind w:left="425" w:firstLine="3715"/>
      </w:pPr>
      <w:rPr>
        <w:rFonts w:hint="default"/>
      </w:rPr>
    </w:lvl>
    <w:lvl w:ilvl="6" w:tentative="0">
      <w:start w:val="1"/>
      <w:numFmt w:val="decimal"/>
      <w:lvlText w:val="%7."/>
      <w:lvlJc w:val="left"/>
      <w:pPr>
        <w:tabs>
          <w:tab w:val="left" w:pos="425"/>
        </w:tabs>
        <w:ind w:left="425" w:firstLine="4255"/>
      </w:pPr>
      <w:rPr>
        <w:rFonts w:hint="default"/>
      </w:rPr>
    </w:lvl>
    <w:lvl w:ilvl="7" w:tentative="0">
      <w:start w:val="1"/>
      <w:numFmt w:val="lowerLetter"/>
      <w:lvlText w:val="%8."/>
      <w:lvlJc w:val="left"/>
      <w:pPr>
        <w:tabs>
          <w:tab w:val="left" w:pos="425"/>
        </w:tabs>
        <w:ind w:left="425" w:firstLine="4975"/>
      </w:pPr>
      <w:rPr>
        <w:rFonts w:hint="default"/>
      </w:rPr>
    </w:lvl>
    <w:lvl w:ilvl="8" w:tentative="0">
      <w:start w:val="1"/>
      <w:numFmt w:val="lowerRoman"/>
      <w:lvlText w:val="%9."/>
      <w:lvlJc w:val="right"/>
      <w:pPr>
        <w:tabs>
          <w:tab w:val="left" w:pos="425"/>
        </w:tabs>
        <w:ind w:left="425" w:firstLine="5875"/>
      </w:pPr>
      <w:rPr>
        <w:rFonts w:hint="default"/>
      </w:rPr>
    </w:lvl>
  </w:abstractNum>
  <w:abstractNum w:abstractNumId="2">
    <w:nsid w:val="EB803574"/>
    <w:multiLevelType w:val="singleLevel"/>
    <w:tmpl w:val="EB803574"/>
    <w:lvl w:ilvl="0" w:tentative="0">
      <w:start w:val="1"/>
      <w:numFmt w:val="lowerLetter"/>
      <w:lvlText w:val="%1."/>
      <w:lvlJc w:val="left"/>
      <w:pPr>
        <w:tabs>
          <w:tab w:val="left" w:pos="425"/>
        </w:tabs>
        <w:ind w:left="425" w:hanging="425"/>
      </w:pPr>
      <w:rPr>
        <w:rFonts w:hint="default"/>
      </w:rPr>
    </w:lvl>
  </w:abstractNum>
  <w:abstractNum w:abstractNumId="3">
    <w:nsid w:val="00000025"/>
    <w:multiLevelType w:val="multilevel"/>
    <w:tmpl w:val="0000002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0000026"/>
    <w:multiLevelType w:val="multilevel"/>
    <w:tmpl w:val="000000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0000051"/>
    <w:multiLevelType w:val="multilevel"/>
    <w:tmpl w:val="0000005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0000054"/>
    <w:multiLevelType w:val="multilevel"/>
    <w:tmpl w:val="0000005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2CF006C"/>
    <w:multiLevelType w:val="multilevel"/>
    <w:tmpl w:val="02CF00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045B42D0"/>
    <w:multiLevelType w:val="multilevel"/>
    <w:tmpl w:val="045B42D0"/>
    <w:lvl w:ilvl="0" w:tentative="0">
      <w:start w:val="1"/>
      <w:numFmt w:val="decimal"/>
      <w:lvlText w:val="%1"/>
      <w:lvlJc w:val="left"/>
      <w:pPr>
        <w:ind w:left="480" w:hanging="480"/>
      </w:pPr>
      <w:rPr>
        <w:rFonts w:hint="default"/>
      </w:rPr>
    </w:lvl>
    <w:lvl w:ilvl="1" w:tentative="0">
      <w:start w:val="4"/>
      <w:numFmt w:val="decimal"/>
      <w:lvlText w:val="%1.%2"/>
      <w:lvlJc w:val="left"/>
      <w:pPr>
        <w:ind w:left="840" w:hanging="480"/>
      </w:pPr>
      <w:rPr>
        <w:rFonts w:hint="default"/>
      </w:rPr>
    </w:lvl>
    <w:lvl w:ilvl="2" w:tentative="0">
      <w:start w:val="2"/>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9">
    <w:nsid w:val="061B5BFD"/>
    <w:multiLevelType w:val="multilevel"/>
    <w:tmpl w:val="061B5BFD"/>
    <w:lvl w:ilvl="0" w:tentative="0">
      <w:start w:val="1"/>
      <w:numFmt w:val="decimal"/>
      <w:pStyle w:val="2"/>
      <w:lvlText w:val="%1"/>
      <w:lvlJc w:val="left"/>
      <w:pPr>
        <w:ind w:left="432" w:hanging="432"/>
      </w:pPr>
      <w:rPr>
        <w:b/>
        <w:bCs/>
        <w:i w:val="0"/>
        <w:iCs w:val="0"/>
        <w:caps w:val="0"/>
        <w:smallCaps w:val="0"/>
        <w:strike w:val="0"/>
        <w:dstrike w:val="0"/>
        <w:spacing w:val="0"/>
        <w:kern w:val="0"/>
        <w:position w:val="0"/>
        <w:u w:val="none"/>
        <w:vertAlign w:val="baseline"/>
      </w:rPr>
    </w:lvl>
    <w:lvl w:ilvl="1" w:tentative="0">
      <w:start w:val="1"/>
      <w:numFmt w:val="decimal"/>
      <w:lvlText w:val="%1.%2"/>
      <w:lvlJc w:val="left"/>
      <w:pPr>
        <w:ind w:left="576" w:hanging="576"/>
      </w:pPr>
      <w:rPr>
        <w:rFonts w:hint="default"/>
      </w:rPr>
    </w:lvl>
    <w:lvl w:ilvl="2" w:tentative="0">
      <w:start w:val="1"/>
      <w:numFmt w:val="decimal"/>
      <w:pStyle w:val="4"/>
      <w:lvlText w:val="%1.%2.%3"/>
      <w:lvlJc w:val="left"/>
      <w:pPr>
        <w:ind w:left="3150" w:hanging="720"/>
      </w:pPr>
      <w:rPr>
        <w:rFonts w:hint="default" w:ascii="Times New Roman" w:hAnsi="Times New Roman" w:cs="Times New Roman"/>
        <w:b/>
        <w:bCs/>
      </w:rPr>
    </w:lvl>
    <w:lvl w:ilvl="3" w:tentative="0">
      <w:start w:val="1"/>
      <w:numFmt w:val="decimal"/>
      <w:lvlText w:val="%1.%2.%3.%4"/>
      <w:lvlJc w:val="left"/>
      <w:pPr>
        <w:ind w:left="239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0">
    <w:nsid w:val="06C43E25"/>
    <w:multiLevelType w:val="multilevel"/>
    <w:tmpl w:val="06C43E2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1">
    <w:nsid w:val="08EA30F7"/>
    <w:multiLevelType w:val="multilevel"/>
    <w:tmpl w:val="08EA30F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95A7A99"/>
    <w:multiLevelType w:val="multilevel"/>
    <w:tmpl w:val="095A7A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9A22E29"/>
    <w:multiLevelType w:val="multilevel"/>
    <w:tmpl w:val="09A22E29"/>
    <w:lvl w:ilvl="0" w:tentative="0">
      <w:start w:val="1"/>
      <w:numFmt w:val="decimal"/>
      <w:lvlText w:val="%1."/>
      <w:lvlJc w:val="left"/>
      <w:pPr>
        <w:ind w:left="720" w:hanging="360"/>
      </w:pPr>
    </w:lvl>
    <w:lvl w:ilvl="1" w:tentative="0">
      <w:start w:val="5"/>
      <w:numFmt w:val="decimal"/>
      <w:isLgl/>
      <w:lvlText w:val="%1.%2"/>
      <w:lvlJc w:val="left"/>
      <w:pPr>
        <w:ind w:left="720" w:hanging="360"/>
      </w:pPr>
      <w:rPr>
        <w:rFonts w:hint="default"/>
        <w:b w:val="0"/>
      </w:rPr>
    </w:lvl>
    <w:lvl w:ilvl="2" w:tentative="0">
      <w:start w:val="1"/>
      <w:numFmt w:val="decimal"/>
      <w:isLgl/>
      <w:lvlText w:val="%1.%2.%3"/>
      <w:lvlJc w:val="left"/>
      <w:pPr>
        <w:ind w:left="1080" w:hanging="720"/>
      </w:pPr>
      <w:rPr>
        <w:rFonts w:hint="default"/>
        <w:b w:val="0"/>
      </w:rPr>
    </w:lvl>
    <w:lvl w:ilvl="3" w:tentative="0">
      <w:start w:val="1"/>
      <w:numFmt w:val="decimal"/>
      <w:isLgl/>
      <w:lvlText w:val="%1.%2.%3.%4"/>
      <w:lvlJc w:val="left"/>
      <w:pPr>
        <w:ind w:left="1080" w:hanging="720"/>
      </w:pPr>
      <w:rPr>
        <w:rFonts w:hint="default"/>
        <w:b w:val="0"/>
      </w:rPr>
    </w:lvl>
    <w:lvl w:ilvl="4" w:tentative="0">
      <w:start w:val="1"/>
      <w:numFmt w:val="decimal"/>
      <w:isLgl/>
      <w:lvlText w:val="%1.%2.%3.%4.%5"/>
      <w:lvlJc w:val="left"/>
      <w:pPr>
        <w:ind w:left="1440" w:hanging="1080"/>
      </w:pPr>
      <w:rPr>
        <w:rFonts w:hint="default"/>
        <w:b w:val="0"/>
      </w:rPr>
    </w:lvl>
    <w:lvl w:ilvl="5" w:tentative="0">
      <w:start w:val="1"/>
      <w:numFmt w:val="decimal"/>
      <w:isLgl/>
      <w:lvlText w:val="%1.%2.%3.%4.%5.%6"/>
      <w:lvlJc w:val="left"/>
      <w:pPr>
        <w:ind w:left="1440" w:hanging="1080"/>
      </w:pPr>
      <w:rPr>
        <w:rFonts w:hint="default"/>
        <w:b w:val="0"/>
      </w:rPr>
    </w:lvl>
    <w:lvl w:ilvl="6" w:tentative="0">
      <w:start w:val="1"/>
      <w:numFmt w:val="decimal"/>
      <w:isLgl/>
      <w:lvlText w:val="%1.%2.%3.%4.%5.%6.%7"/>
      <w:lvlJc w:val="left"/>
      <w:pPr>
        <w:ind w:left="1800" w:hanging="1440"/>
      </w:pPr>
      <w:rPr>
        <w:rFonts w:hint="default"/>
        <w:b w:val="0"/>
      </w:rPr>
    </w:lvl>
    <w:lvl w:ilvl="7" w:tentative="0">
      <w:start w:val="1"/>
      <w:numFmt w:val="decimal"/>
      <w:isLgl/>
      <w:lvlText w:val="%1.%2.%3.%4.%5.%6.%7.%8"/>
      <w:lvlJc w:val="left"/>
      <w:pPr>
        <w:ind w:left="1800" w:hanging="1440"/>
      </w:pPr>
      <w:rPr>
        <w:rFonts w:hint="default"/>
        <w:b w:val="0"/>
      </w:rPr>
    </w:lvl>
    <w:lvl w:ilvl="8" w:tentative="0">
      <w:start w:val="1"/>
      <w:numFmt w:val="decimal"/>
      <w:isLgl/>
      <w:lvlText w:val="%1.%2.%3.%4.%5.%6.%7.%8.%9"/>
      <w:lvlJc w:val="left"/>
      <w:pPr>
        <w:ind w:left="2160" w:hanging="1800"/>
      </w:pPr>
      <w:rPr>
        <w:rFonts w:hint="default"/>
        <w:b w:val="0"/>
      </w:rPr>
    </w:lvl>
  </w:abstractNum>
  <w:abstractNum w:abstractNumId="14">
    <w:nsid w:val="0A1E61FB"/>
    <w:multiLevelType w:val="multilevel"/>
    <w:tmpl w:val="0A1E61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A6F70E4"/>
    <w:multiLevelType w:val="multilevel"/>
    <w:tmpl w:val="0A6F70E4"/>
    <w:lvl w:ilvl="0" w:tentative="0">
      <w:start w:val="1"/>
      <w:numFmt w:val="lowerLetter"/>
      <w:lvlText w:val="%1)"/>
      <w:lvlJc w:val="left"/>
      <w:pPr>
        <w:ind w:left="780" w:hanging="360"/>
      </w:p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16">
    <w:nsid w:val="0B8C1C49"/>
    <w:multiLevelType w:val="multilevel"/>
    <w:tmpl w:val="0B8C1C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0F6E3292"/>
    <w:multiLevelType w:val="multilevel"/>
    <w:tmpl w:val="0F6E32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0F765827"/>
    <w:multiLevelType w:val="multilevel"/>
    <w:tmpl w:val="0F76582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9">
    <w:nsid w:val="10C639D9"/>
    <w:multiLevelType w:val="multilevel"/>
    <w:tmpl w:val="10C639D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15D53168"/>
    <w:multiLevelType w:val="multilevel"/>
    <w:tmpl w:val="15D5316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1">
    <w:nsid w:val="160F760B"/>
    <w:multiLevelType w:val="multilevel"/>
    <w:tmpl w:val="160F76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919128A"/>
    <w:multiLevelType w:val="multilevel"/>
    <w:tmpl w:val="191912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C983CE1"/>
    <w:multiLevelType w:val="multilevel"/>
    <w:tmpl w:val="1C983CE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1D0321E6"/>
    <w:multiLevelType w:val="multilevel"/>
    <w:tmpl w:val="1D0321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1E631B5"/>
    <w:multiLevelType w:val="multilevel"/>
    <w:tmpl w:val="21E631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2FD08B1"/>
    <w:multiLevelType w:val="multilevel"/>
    <w:tmpl w:val="22FD08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39C3F3F"/>
    <w:multiLevelType w:val="multilevel"/>
    <w:tmpl w:val="239C3F3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8">
    <w:nsid w:val="24214145"/>
    <w:multiLevelType w:val="multilevel"/>
    <w:tmpl w:val="24214145"/>
    <w:lvl w:ilvl="0" w:tentative="0">
      <w:start w:val="1"/>
      <w:numFmt w:val="bullet"/>
      <w:lvlText w:val=""/>
      <w:lvlJc w:val="left"/>
      <w:pPr>
        <w:ind w:left="432" w:hanging="432"/>
      </w:pPr>
      <w:rPr>
        <w:rFonts w:hint="default" w:ascii="Symbol" w:hAnsi="Symbol"/>
      </w:r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9">
    <w:nsid w:val="24E10406"/>
    <w:multiLevelType w:val="multilevel"/>
    <w:tmpl w:val="24E10406"/>
    <w:lvl w:ilvl="0" w:tentative="0">
      <w:start w:val="0"/>
      <w:numFmt w:val="bullet"/>
      <w:lvlText w:val="•"/>
      <w:lvlJc w:val="left"/>
      <w:pPr>
        <w:ind w:left="1440" w:hanging="720"/>
      </w:pPr>
      <w:rPr>
        <w:rFonts w:hint="default" w:ascii="Tahoma" w:hAnsi="Tahoma" w:eastAsia="Calibri" w:cs="Tahoma"/>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0">
    <w:nsid w:val="26FC51E4"/>
    <w:multiLevelType w:val="multilevel"/>
    <w:tmpl w:val="26FC51E4"/>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1">
    <w:nsid w:val="27761843"/>
    <w:multiLevelType w:val="multilevel"/>
    <w:tmpl w:val="27761843"/>
    <w:lvl w:ilvl="0" w:tentative="0">
      <w:start w:val="1"/>
      <w:numFmt w:val="decimal"/>
      <w:lvlText w:val="%1."/>
      <w:lvlJc w:val="left"/>
      <w:pPr>
        <w:ind w:left="360" w:hanging="360"/>
      </w:pPr>
      <w:rPr>
        <w:rFonts w:hint="default"/>
        <w:lang w:val="en-US" w:eastAsia="en-US" w:bidi="ar-SA"/>
      </w:rPr>
    </w:lvl>
    <w:lvl w:ilvl="1" w:tentative="0">
      <w:start w:val="1"/>
      <w:numFmt w:val="decimal"/>
      <w:lvlText w:val="%1.%2."/>
      <w:lvlJc w:val="left"/>
      <w:pPr>
        <w:ind w:left="792" w:hanging="432"/>
      </w:pPr>
      <w:rPr>
        <w:rFonts w:hint="default"/>
        <w:spacing w:val="-1"/>
        <w:w w:val="105"/>
        <w:lang w:val="en-US" w:eastAsia="en-US" w:bidi="ar-SA"/>
      </w:rPr>
    </w:lvl>
    <w:lvl w:ilvl="2" w:tentative="0">
      <w:start w:val="1"/>
      <w:numFmt w:val="decimal"/>
      <w:lvlText w:val="%1.%2.%3."/>
      <w:lvlJc w:val="left"/>
      <w:pPr>
        <w:ind w:left="1224" w:hanging="504"/>
      </w:pPr>
      <w:rPr>
        <w:rFonts w:hint="default"/>
        <w:lang w:val="en-US" w:eastAsia="en-US" w:bidi="ar-SA"/>
      </w:rPr>
    </w:lvl>
    <w:lvl w:ilvl="3" w:tentative="0">
      <w:start w:val="1"/>
      <w:numFmt w:val="decimal"/>
      <w:lvlText w:val="%1.%2.%3.%4."/>
      <w:lvlJc w:val="left"/>
      <w:pPr>
        <w:ind w:left="1728" w:hanging="648"/>
      </w:pPr>
      <w:rPr>
        <w:rFonts w:hint="default"/>
        <w:lang w:val="en-US" w:eastAsia="en-US" w:bidi="ar-SA"/>
      </w:rPr>
    </w:lvl>
    <w:lvl w:ilvl="4" w:tentative="0">
      <w:start w:val="1"/>
      <w:numFmt w:val="decimal"/>
      <w:lvlText w:val="%1.%2.%3.%4.%5."/>
      <w:lvlJc w:val="left"/>
      <w:pPr>
        <w:ind w:left="2232" w:hanging="792"/>
      </w:pPr>
      <w:rPr>
        <w:rFonts w:hint="default"/>
        <w:lang w:val="en-US" w:eastAsia="en-US" w:bidi="ar-SA"/>
      </w:rPr>
    </w:lvl>
    <w:lvl w:ilvl="5" w:tentative="0">
      <w:start w:val="1"/>
      <w:numFmt w:val="decimal"/>
      <w:lvlText w:val="%1.%2.%3.%4.%5.%6."/>
      <w:lvlJc w:val="left"/>
      <w:pPr>
        <w:ind w:left="2736" w:hanging="936"/>
      </w:pPr>
      <w:rPr>
        <w:rFonts w:hint="default"/>
        <w:lang w:val="en-US" w:eastAsia="en-US" w:bidi="ar-SA"/>
      </w:rPr>
    </w:lvl>
    <w:lvl w:ilvl="6" w:tentative="0">
      <w:start w:val="1"/>
      <w:numFmt w:val="decimal"/>
      <w:lvlText w:val="%1.%2.%3.%4.%5.%6.%7."/>
      <w:lvlJc w:val="left"/>
      <w:pPr>
        <w:ind w:left="3240" w:hanging="1080"/>
      </w:pPr>
      <w:rPr>
        <w:rFonts w:hint="default"/>
        <w:lang w:val="en-US" w:eastAsia="en-US" w:bidi="ar-SA"/>
      </w:rPr>
    </w:lvl>
    <w:lvl w:ilvl="7" w:tentative="0">
      <w:start w:val="1"/>
      <w:numFmt w:val="decimal"/>
      <w:lvlText w:val="%1.%2.%3.%4.%5.%6.%7.%8."/>
      <w:lvlJc w:val="left"/>
      <w:pPr>
        <w:ind w:left="3744" w:hanging="1224"/>
      </w:pPr>
      <w:rPr>
        <w:rFonts w:hint="default"/>
        <w:lang w:val="en-US" w:eastAsia="en-US" w:bidi="ar-SA"/>
      </w:rPr>
    </w:lvl>
    <w:lvl w:ilvl="8" w:tentative="0">
      <w:start w:val="1"/>
      <w:numFmt w:val="decimal"/>
      <w:lvlText w:val="%1.%2.%3.%4.%5.%6.%7.%8.%9."/>
      <w:lvlJc w:val="left"/>
      <w:pPr>
        <w:ind w:left="4320" w:hanging="1440"/>
      </w:pPr>
      <w:rPr>
        <w:rFonts w:hint="default"/>
        <w:lang w:val="en-US" w:eastAsia="en-US" w:bidi="ar-SA"/>
      </w:rPr>
    </w:lvl>
  </w:abstractNum>
  <w:abstractNum w:abstractNumId="32">
    <w:nsid w:val="29096EE0"/>
    <w:multiLevelType w:val="multilevel"/>
    <w:tmpl w:val="29096E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29457481"/>
    <w:multiLevelType w:val="multilevel"/>
    <w:tmpl w:val="29457481"/>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4">
    <w:nsid w:val="29D93286"/>
    <w:multiLevelType w:val="multilevel"/>
    <w:tmpl w:val="29D93286"/>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29EE4566"/>
    <w:multiLevelType w:val="multilevel"/>
    <w:tmpl w:val="29EE45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2DB06F88"/>
    <w:multiLevelType w:val="multilevel"/>
    <w:tmpl w:val="2DB06F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2FDE132A"/>
    <w:multiLevelType w:val="multilevel"/>
    <w:tmpl w:val="2FDE13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31695581"/>
    <w:multiLevelType w:val="multilevel"/>
    <w:tmpl w:val="316955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319425D3"/>
    <w:multiLevelType w:val="multilevel"/>
    <w:tmpl w:val="319425D3"/>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40">
    <w:nsid w:val="328A04DB"/>
    <w:multiLevelType w:val="multilevel"/>
    <w:tmpl w:val="328A04D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32FD4FE5"/>
    <w:multiLevelType w:val="multilevel"/>
    <w:tmpl w:val="32FD4FE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69C2F19"/>
    <w:multiLevelType w:val="multilevel"/>
    <w:tmpl w:val="369C2F19"/>
    <w:lvl w:ilvl="0" w:tentative="0">
      <w:start w:val="1"/>
      <w:numFmt w:val="decimal"/>
      <w:lvlText w:val="%1."/>
      <w:lvlJc w:val="left"/>
      <w:pPr>
        <w:ind w:left="360" w:hanging="360"/>
      </w:pPr>
      <w:rPr>
        <w:rFonts w:hint="default"/>
      </w:rPr>
    </w:lvl>
    <w:lvl w:ilvl="1" w:tentative="0">
      <w:start w:val="4"/>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43">
    <w:nsid w:val="3CF375B5"/>
    <w:multiLevelType w:val="multilevel"/>
    <w:tmpl w:val="3CF375B5"/>
    <w:lvl w:ilvl="0" w:tentative="0">
      <w:start w:val="1"/>
      <w:numFmt w:val="lowerRoman"/>
      <w:lvlText w:val="%1."/>
      <w:lvlJc w:val="righ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DD734A1"/>
    <w:multiLevelType w:val="singleLevel"/>
    <w:tmpl w:val="3DD734A1"/>
    <w:lvl w:ilvl="0" w:tentative="0">
      <w:start w:val="1"/>
      <w:numFmt w:val="decimal"/>
      <w:lvlText w:val="%1."/>
      <w:lvlJc w:val="left"/>
      <w:pPr>
        <w:tabs>
          <w:tab w:val="left" w:pos="425"/>
        </w:tabs>
        <w:ind w:left="425" w:hanging="425"/>
      </w:pPr>
      <w:rPr>
        <w:rFonts w:hint="default"/>
      </w:rPr>
    </w:lvl>
  </w:abstractNum>
  <w:abstractNum w:abstractNumId="45">
    <w:nsid w:val="3E975FA4"/>
    <w:multiLevelType w:val="multilevel"/>
    <w:tmpl w:val="3E975FA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3F794BD7"/>
    <w:multiLevelType w:val="multilevel"/>
    <w:tmpl w:val="3F794B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3FA016F5"/>
    <w:multiLevelType w:val="multilevel"/>
    <w:tmpl w:val="3FA016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406C1DCB"/>
    <w:multiLevelType w:val="multilevel"/>
    <w:tmpl w:val="406C1D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4151038D"/>
    <w:multiLevelType w:val="multilevel"/>
    <w:tmpl w:val="4151038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0">
    <w:nsid w:val="41D36B4F"/>
    <w:multiLevelType w:val="multilevel"/>
    <w:tmpl w:val="41D36B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457673E6"/>
    <w:multiLevelType w:val="multilevel"/>
    <w:tmpl w:val="457673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46F60498"/>
    <w:multiLevelType w:val="multilevel"/>
    <w:tmpl w:val="46F604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47472F9C"/>
    <w:multiLevelType w:val="multilevel"/>
    <w:tmpl w:val="47472F9C"/>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4">
    <w:nsid w:val="479433BE"/>
    <w:multiLevelType w:val="multilevel"/>
    <w:tmpl w:val="479433B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5">
    <w:nsid w:val="494A6C1E"/>
    <w:multiLevelType w:val="multilevel"/>
    <w:tmpl w:val="494A6C1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6">
    <w:nsid w:val="4A2B2AE6"/>
    <w:multiLevelType w:val="multilevel"/>
    <w:tmpl w:val="4A2B2AE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4A2C3B11"/>
    <w:multiLevelType w:val="multilevel"/>
    <w:tmpl w:val="4A2C3B1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8">
    <w:nsid w:val="4A79376D"/>
    <w:multiLevelType w:val="multilevel"/>
    <w:tmpl w:val="4A7937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4B426865"/>
    <w:multiLevelType w:val="multilevel"/>
    <w:tmpl w:val="4B4268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4F9264F1"/>
    <w:multiLevelType w:val="multilevel"/>
    <w:tmpl w:val="4F9264F1"/>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1">
    <w:nsid w:val="53965E0B"/>
    <w:multiLevelType w:val="multilevel"/>
    <w:tmpl w:val="53965E0B"/>
    <w:lvl w:ilvl="0" w:tentative="0">
      <w:start w:val="3"/>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2">
    <w:nsid w:val="53CC700C"/>
    <w:multiLevelType w:val="multilevel"/>
    <w:tmpl w:val="53CC700C"/>
    <w:lvl w:ilvl="0" w:tentative="0">
      <w:start w:val="9"/>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63">
    <w:nsid w:val="53D311D7"/>
    <w:multiLevelType w:val="multilevel"/>
    <w:tmpl w:val="53D311D7"/>
    <w:lvl w:ilvl="0" w:tentative="0">
      <w:start w:val="1"/>
      <w:numFmt w:val="lowerRoman"/>
      <w:lvlText w:val="(%1)"/>
      <w:lvlJc w:val="left"/>
      <w:pPr>
        <w:ind w:left="1440" w:hanging="360"/>
      </w:pPr>
      <w:rPr>
        <w:rFonts w:hint="default"/>
        <w:b w:val="0"/>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4">
    <w:nsid w:val="550557A2"/>
    <w:multiLevelType w:val="multilevel"/>
    <w:tmpl w:val="550557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565823F9"/>
    <w:multiLevelType w:val="multilevel"/>
    <w:tmpl w:val="565823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570C2475"/>
    <w:multiLevelType w:val="multilevel"/>
    <w:tmpl w:val="570C2475"/>
    <w:lvl w:ilvl="0" w:tentative="0">
      <w:start w:val="3"/>
      <w:numFmt w:val="decimal"/>
      <w:lvlText w:val="%1"/>
      <w:lvlJc w:val="left"/>
      <w:pPr>
        <w:ind w:left="480" w:hanging="480"/>
      </w:pPr>
      <w:rPr>
        <w:rFonts w:hint="default"/>
      </w:rPr>
    </w:lvl>
    <w:lvl w:ilvl="1" w:tentative="0">
      <w:start w:val="4"/>
      <w:numFmt w:val="decimal"/>
      <w:lvlText w:val="%1.%2"/>
      <w:lvlJc w:val="left"/>
      <w:pPr>
        <w:ind w:left="900" w:hanging="48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1980" w:hanging="72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180" w:hanging="108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380" w:hanging="1440"/>
      </w:pPr>
      <w:rPr>
        <w:rFonts w:hint="default"/>
      </w:rPr>
    </w:lvl>
    <w:lvl w:ilvl="8" w:tentative="0">
      <w:start w:val="1"/>
      <w:numFmt w:val="decimal"/>
      <w:lvlText w:val="%1.%2.%3.%4.%5.%6.%7.%8.%9"/>
      <w:lvlJc w:val="left"/>
      <w:pPr>
        <w:ind w:left="5160" w:hanging="1800"/>
      </w:pPr>
      <w:rPr>
        <w:rFonts w:hint="default"/>
      </w:rPr>
    </w:lvl>
  </w:abstractNum>
  <w:abstractNum w:abstractNumId="67">
    <w:nsid w:val="59CD50EB"/>
    <w:multiLevelType w:val="multilevel"/>
    <w:tmpl w:val="59CD50E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8">
    <w:nsid w:val="59F8354A"/>
    <w:multiLevelType w:val="multilevel"/>
    <w:tmpl w:val="59F835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5B6F7AA0"/>
    <w:multiLevelType w:val="multilevel"/>
    <w:tmpl w:val="5B6F7AA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0">
    <w:nsid w:val="5C700CA9"/>
    <w:multiLevelType w:val="multilevel"/>
    <w:tmpl w:val="5C700C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5D1A008B"/>
    <w:multiLevelType w:val="multilevel"/>
    <w:tmpl w:val="5D1A00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5E74430E"/>
    <w:multiLevelType w:val="multilevel"/>
    <w:tmpl w:val="5E74430E"/>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73">
    <w:nsid w:val="5EFB074A"/>
    <w:multiLevelType w:val="multilevel"/>
    <w:tmpl w:val="5EFB074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630A372D"/>
    <w:multiLevelType w:val="multilevel"/>
    <w:tmpl w:val="630A372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5">
    <w:nsid w:val="631910DE"/>
    <w:multiLevelType w:val="multilevel"/>
    <w:tmpl w:val="631910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63D1224E"/>
    <w:multiLevelType w:val="multilevel"/>
    <w:tmpl w:val="63D1224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7">
    <w:nsid w:val="66DD0366"/>
    <w:multiLevelType w:val="multilevel"/>
    <w:tmpl w:val="66DD0366"/>
    <w:lvl w:ilvl="0" w:tentative="0">
      <w:start w:val="6"/>
      <w:numFmt w:val="decimal"/>
      <w:lvlText w:val="%1"/>
      <w:lvlJc w:val="left"/>
      <w:pPr>
        <w:ind w:left="960" w:hanging="720"/>
      </w:pPr>
      <w:rPr>
        <w:rFonts w:hint="default"/>
      </w:rPr>
    </w:lvl>
    <w:lvl w:ilvl="1" w:tentative="0">
      <w:start w:val="1"/>
      <w:numFmt w:val="decimal"/>
      <w:lvlText w:val="%1.%2"/>
      <w:lvlJc w:val="left"/>
      <w:pPr>
        <w:ind w:left="960" w:hanging="720"/>
      </w:pPr>
      <w:rPr>
        <w:rFonts w:hint="default" w:ascii="Calibri" w:hAnsi="Calibri" w:eastAsia="Calibri"/>
        <w:b/>
        <w:bCs/>
        <w:w w:val="99"/>
        <w:sz w:val="24"/>
        <w:szCs w:val="24"/>
      </w:rPr>
    </w:lvl>
    <w:lvl w:ilvl="2" w:tentative="0">
      <w:start w:val="1"/>
      <w:numFmt w:val="bullet"/>
      <w:lvlText w:val=""/>
      <w:lvlJc w:val="left"/>
      <w:pPr>
        <w:ind w:left="1680" w:hanging="360"/>
      </w:pPr>
      <w:rPr>
        <w:rFonts w:hint="default" w:ascii="Symbol" w:hAnsi="Symbol" w:eastAsia="Symbol"/>
        <w:sz w:val="22"/>
        <w:szCs w:val="22"/>
      </w:rPr>
    </w:lvl>
    <w:lvl w:ilvl="3" w:tentative="0">
      <w:start w:val="1"/>
      <w:numFmt w:val="bullet"/>
      <w:lvlText w:val="•"/>
      <w:lvlJc w:val="left"/>
      <w:pPr>
        <w:ind w:left="3464" w:hanging="360"/>
      </w:pPr>
      <w:rPr>
        <w:rFonts w:hint="default"/>
      </w:rPr>
    </w:lvl>
    <w:lvl w:ilvl="4" w:tentative="0">
      <w:start w:val="1"/>
      <w:numFmt w:val="bullet"/>
      <w:lvlText w:val="•"/>
      <w:lvlJc w:val="left"/>
      <w:pPr>
        <w:ind w:left="4356" w:hanging="360"/>
      </w:pPr>
      <w:rPr>
        <w:rFonts w:hint="default"/>
      </w:rPr>
    </w:lvl>
    <w:lvl w:ilvl="5" w:tentative="0">
      <w:start w:val="1"/>
      <w:numFmt w:val="bullet"/>
      <w:lvlText w:val="•"/>
      <w:lvlJc w:val="left"/>
      <w:pPr>
        <w:ind w:left="5248" w:hanging="360"/>
      </w:pPr>
      <w:rPr>
        <w:rFonts w:hint="default"/>
      </w:rPr>
    </w:lvl>
    <w:lvl w:ilvl="6" w:tentative="0">
      <w:start w:val="1"/>
      <w:numFmt w:val="bullet"/>
      <w:lvlText w:val="•"/>
      <w:lvlJc w:val="left"/>
      <w:pPr>
        <w:ind w:left="6140" w:hanging="360"/>
      </w:pPr>
      <w:rPr>
        <w:rFonts w:hint="default"/>
      </w:rPr>
    </w:lvl>
    <w:lvl w:ilvl="7" w:tentative="0">
      <w:start w:val="1"/>
      <w:numFmt w:val="bullet"/>
      <w:lvlText w:val="•"/>
      <w:lvlJc w:val="left"/>
      <w:pPr>
        <w:ind w:left="7032" w:hanging="360"/>
      </w:pPr>
      <w:rPr>
        <w:rFonts w:hint="default"/>
      </w:rPr>
    </w:lvl>
    <w:lvl w:ilvl="8" w:tentative="0">
      <w:start w:val="1"/>
      <w:numFmt w:val="bullet"/>
      <w:lvlText w:val="•"/>
      <w:lvlJc w:val="left"/>
      <w:pPr>
        <w:ind w:left="7924" w:hanging="360"/>
      </w:pPr>
      <w:rPr>
        <w:rFonts w:hint="default"/>
      </w:rPr>
    </w:lvl>
  </w:abstractNum>
  <w:abstractNum w:abstractNumId="78">
    <w:nsid w:val="672A4756"/>
    <w:multiLevelType w:val="singleLevel"/>
    <w:tmpl w:val="672A4756"/>
    <w:lvl w:ilvl="0" w:tentative="0">
      <w:start w:val="2"/>
      <w:numFmt w:val="decimal"/>
      <w:suff w:val="space"/>
      <w:lvlText w:val="%1."/>
      <w:lvlJc w:val="left"/>
    </w:lvl>
  </w:abstractNum>
  <w:abstractNum w:abstractNumId="79">
    <w:nsid w:val="67A8CDA6"/>
    <w:multiLevelType w:val="singleLevel"/>
    <w:tmpl w:val="67A8CDA6"/>
    <w:lvl w:ilvl="0" w:tentative="0">
      <w:start w:val="1"/>
      <w:numFmt w:val="lowerLetter"/>
      <w:lvlText w:val="%1)"/>
      <w:lvlJc w:val="left"/>
      <w:pPr>
        <w:tabs>
          <w:tab w:val="left" w:pos="425"/>
        </w:tabs>
        <w:ind w:left="425" w:hanging="425"/>
      </w:pPr>
      <w:rPr>
        <w:rFonts w:hint="default"/>
      </w:rPr>
    </w:lvl>
  </w:abstractNum>
  <w:abstractNum w:abstractNumId="80">
    <w:nsid w:val="6A5C12E2"/>
    <w:multiLevelType w:val="multilevel"/>
    <w:tmpl w:val="6A5C12E2"/>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81">
    <w:nsid w:val="6BA55583"/>
    <w:multiLevelType w:val="multilevel"/>
    <w:tmpl w:val="6BA555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6C2F0D05"/>
    <w:multiLevelType w:val="multilevel"/>
    <w:tmpl w:val="6C2F0D0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3">
    <w:nsid w:val="6C6409FA"/>
    <w:multiLevelType w:val="multilevel"/>
    <w:tmpl w:val="6C6409FA"/>
    <w:lvl w:ilvl="0" w:tentative="0">
      <w:start w:val="1"/>
      <w:numFmt w:val="lowerRoman"/>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84">
    <w:nsid w:val="6CFB2D04"/>
    <w:multiLevelType w:val="multilevel"/>
    <w:tmpl w:val="6CFB2D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6D3676CD"/>
    <w:multiLevelType w:val="multilevel"/>
    <w:tmpl w:val="6D3676C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6D8E3C91"/>
    <w:multiLevelType w:val="multilevel"/>
    <w:tmpl w:val="6D8E3C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6E591592"/>
    <w:multiLevelType w:val="multilevel"/>
    <w:tmpl w:val="6E5915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6EB86208"/>
    <w:multiLevelType w:val="multilevel"/>
    <w:tmpl w:val="6EB8620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9">
    <w:nsid w:val="70A66339"/>
    <w:multiLevelType w:val="multilevel"/>
    <w:tmpl w:val="70A66339"/>
    <w:lvl w:ilvl="0" w:tentative="0">
      <w:start w:val="6"/>
      <w:numFmt w:val="decimal"/>
      <w:lvlText w:val="%1"/>
      <w:lvlJc w:val="left"/>
      <w:pPr>
        <w:ind w:left="480" w:hanging="480"/>
      </w:pPr>
      <w:rPr>
        <w:rFonts w:hint="default"/>
      </w:rPr>
    </w:lvl>
    <w:lvl w:ilvl="1" w:tentative="0">
      <w:start w:val="1"/>
      <w:numFmt w:val="decimal"/>
      <w:lvlText w:val="%1.%2"/>
      <w:lvlJc w:val="left"/>
      <w:pPr>
        <w:ind w:left="930" w:hanging="480"/>
      </w:pPr>
      <w:rPr>
        <w:rFonts w:hint="default"/>
      </w:rPr>
    </w:lvl>
    <w:lvl w:ilvl="2" w:tentative="0">
      <w:start w:val="2"/>
      <w:numFmt w:val="decimal"/>
      <w:lvlText w:val="%1.%2.%3"/>
      <w:lvlJc w:val="left"/>
      <w:pPr>
        <w:ind w:left="1620" w:hanging="720"/>
      </w:pPr>
      <w:rPr>
        <w:rFonts w:hint="default"/>
      </w:rPr>
    </w:lvl>
    <w:lvl w:ilvl="3" w:tentative="0">
      <w:start w:val="1"/>
      <w:numFmt w:val="decimal"/>
      <w:lvlText w:val="%1.%2.%3.%4"/>
      <w:lvlJc w:val="left"/>
      <w:pPr>
        <w:ind w:left="2070" w:hanging="720"/>
      </w:pPr>
      <w:rPr>
        <w:rFonts w:hint="default"/>
      </w:rPr>
    </w:lvl>
    <w:lvl w:ilvl="4" w:tentative="0">
      <w:start w:val="1"/>
      <w:numFmt w:val="decimal"/>
      <w:lvlText w:val="%1.%2.%3.%4.%5"/>
      <w:lvlJc w:val="left"/>
      <w:pPr>
        <w:ind w:left="2880" w:hanging="1080"/>
      </w:pPr>
      <w:rPr>
        <w:rFonts w:hint="default"/>
      </w:rPr>
    </w:lvl>
    <w:lvl w:ilvl="5" w:tentative="0">
      <w:start w:val="1"/>
      <w:numFmt w:val="decimal"/>
      <w:lvlText w:val="%1.%2.%3.%4.%5.%6"/>
      <w:lvlJc w:val="left"/>
      <w:pPr>
        <w:ind w:left="3330" w:hanging="1080"/>
      </w:pPr>
      <w:rPr>
        <w:rFonts w:hint="default"/>
      </w:rPr>
    </w:lvl>
    <w:lvl w:ilvl="6" w:tentative="0">
      <w:start w:val="1"/>
      <w:numFmt w:val="decimal"/>
      <w:lvlText w:val="%1.%2.%3.%4.%5.%6.%7"/>
      <w:lvlJc w:val="left"/>
      <w:pPr>
        <w:ind w:left="4140" w:hanging="1440"/>
      </w:pPr>
      <w:rPr>
        <w:rFonts w:hint="default"/>
      </w:rPr>
    </w:lvl>
    <w:lvl w:ilvl="7" w:tentative="0">
      <w:start w:val="1"/>
      <w:numFmt w:val="decimal"/>
      <w:lvlText w:val="%1.%2.%3.%4.%5.%6.%7.%8"/>
      <w:lvlJc w:val="left"/>
      <w:pPr>
        <w:ind w:left="4590" w:hanging="1440"/>
      </w:pPr>
      <w:rPr>
        <w:rFonts w:hint="default"/>
      </w:rPr>
    </w:lvl>
    <w:lvl w:ilvl="8" w:tentative="0">
      <w:start w:val="1"/>
      <w:numFmt w:val="decimal"/>
      <w:lvlText w:val="%1.%2.%3.%4.%5.%6.%7.%8.%9"/>
      <w:lvlJc w:val="left"/>
      <w:pPr>
        <w:ind w:left="5400" w:hanging="1800"/>
      </w:pPr>
      <w:rPr>
        <w:rFonts w:hint="default"/>
      </w:rPr>
    </w:lvl>
  </w:abstractNum>
  <w:abstractNum w:abstractNumId="90">
    <w:nsid w:val="71AB78A7"/>
    <w:multiLevelType w:val="multilevel"/>
    <w:tmpl w:val="71AB78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71EC36EB"/>
    <w:multiLevelType w:val="multilevel"/>
    <w:tmpl w:val="71EC36E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73D326A8"/>
    <w:multiLevelType w:val="multilevel"/>
    <w:tmpl w:val="73D326A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74A479F1"/>
    <w:multiLevelType w:val="multilevel"/>
    <w:tmpl w:val="74A479F1"/>
    <w:lvl w:ilvl="0" w:tentative="0">
      <w:start w:val="6"/>
      <w:numFmt w:val="decimal"/>
      <w:lvlText w:val="%1"/>
      <w:lvlJc w:val="left"/>
      <w:pPr>
        <w:ind w:left="480" w:hanging="480"/>
      </w:pPr>
      <w:rPr>
        <w:rFonts w:hint="default"/>
      </w:rPr>
    </w:lvl>
    <w:lvl w:ilvl="1" w:tentative="0">
      <w:start w:val="2"/>
      <w:numFmt w:val="decimal"/>
      <w:lvlText w:val="%1.%2"/>
      <w:lvlJc w:val="left"/>
      <w:pPr>
        <w:ind w:left="1695" w:hanging="480"/>
      </w:pPr>
      <w:rPr>
        <w:rFonts w:hint="default"/>
      </w:rPr>
    </w:lvl>
    <w:lvl w:ilvl="2" w:tentative="0">
      <w:start w:val="3"/>
      <w:numFmt w:val="decimal"/>
      <w:lvlText w:val="%1.%2.%3"/>
      <w:lvlJc w:val="left"/>
      <w:pPr>
        <w:ind w:left="3150" w:hanging="720"/>
      </w:pPr>
      <w:rPr>
        <w:rFonts w:hint="default"/>
      </w:rPr>
    </w:lvl>
    <w:lvl w:ilvl="3" w:tentative="0">
      <w:start w:val="1"/>
      <w:numFmt w:val="decimal"/>
      <w:lvlText w:val="%1.%2.%3.%4"/>
      <w:lvlJc w:val="left"/>
      <w:pPr>
        <w:ind w:left="4365" w:hanging="720"/>
      </w:pPr>
      <w:rPr>
        <w:rFonts w:hint="default"/>
      </w:rPr>
    </w:lvl>
    <w:lvl w:ilvl="4" w:tentative="0">
      <w:start w:val="1"/>
      <w:numFmt w:val="decimal"/>
      <w:lvlText w:val="%1.%2.%3.%4.%5"/>
      <w:lvlJc w:val="left"/>
      <w:pPr>
        <w:ind w:left="5940" w:hanging="1080"/>
      </w:pPr>
      <w:rPr>
        <w:rFonts w:hint="default"/>
      </w:rPr>
    </w:lvl>
    <w:lvl w:ilvl="5" w:tentative="0">
      <w:start w:val="1"/>
      <w:numFmt w:val="decimal"/>
      <w:lvlText w:val="%1.%2.%3.%4.%5.%6"/>
      <w:lvlJc w:val="left"/>
      <w:pPr>
        <w:ind w:left="7155" w:hanging="1080"/>
      </w:pPr>
      <w:rPr>
        <w:rFonts w:hint="default"/>
      </w:rPr>
    </w:lvl>
    <w:lvl w:ilvl="6" w:tentative="0">
      <w:start w:val="1"/>
      <w:numFmt w:val="decimal"/>
      <w:lvlText w:val="%1.%2.%3.%4.%5.%6.%7"/>
      <w:lvlJc w:val="left"/>
      <w:pPr>
        <w:ind w:left="8730" w:hanging="1440"/>
      </w:pPr>
      <w:rPr>
        <w:rFonts w:hint="default"/>
      </w:rPr>
    </w:lvl>
    <w:lvl w:ilvl="7" w:tentative="0">
      <w:start w:val="1"/>
      <w:numFmt w:val="decimal"/>
      <w:lvlText w:val="%1.%2.%3.%4.%5.%6.%7.%8"/>
      <w:lvlJc w:val="left"/>
      <w:pPr>
        <w:ind w:left="9945" w:hanging="1440"/>
      </w:pPr>
      <w:rPr>
        <w:rFonts w:hint="default"/>
      </w:rPr>
    </w:lvl>
    <w:lvl w:ilvl="8" w:tentative="0">
      <w:start w:val="1"/>
      <w:numFmt w:val="decimal"/>
      <w:lvlText w:val="%1.%2.%3.%4.%5.%6.%7.%8.%9"/>
      <w:lvlJc w:val="left"/>
      <w:pPr>
        <w:ind w:left="11520" w:hanging="1800"/>
      </w:pPr>
      <w:rPr>
        <w:rFonts w:hint="default"/>
      </w:rPr>
    </w:lvl>
  </w:abstractNum>
  <w:abstractNum w:abstractNumId="94">
    <w:nsid w:val="75FD35F4"/>
    <w:multiLevelType w:val="multilevel"/>
    <w:tmpl w:val="75FD35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76340AD5"/>
    <w:multiLevelType w:val="multilevel"/>
    <w:tmpl w:val="76340AD5"/>
    <w:lvl w:ilvl="0" w:tentative="0">
      <w:start w:val="0"/>
      <w:numFmt w:val="bullet"/>
      <w:lvlText w:val="•"/>
      <w:lvlJc w:val="left"/>
      <w:pPr>
        <w:ind w:left="1440" w:hanging="720"/>
      </w:pPr>
      <w:rPr>
        <w:rFonts w:hint="default" w:ascii="Tahoma" w:hAnsi="Tahoma" w:eastAsia="Calibri" w:cs="Tahoma"/>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6">
    <w:nsid w:val="764E6BA1"/>
    <w:multiLevelType w:val="multilevel"/>
    <w:tmpl w:val="764E6B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76DA6D0A"/>
    <w:multiLevelType w:val="multilevel"/>
    <w:tmpl w:val="76DA6D0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8">
    <w:nsid w:val="76F975D6"/>
    <w:multiLevelType w:val="multilevel"/>
    <w:tmpl w:val="76F975D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9">
    <w:nsid w:val="78DB2F2B"/>
    <w:multiLevelType w:val="multilevel"/>
    <w:tmpl w:val="78DB2F2B"/>
    <w:lvl w:ilvl="0" w:tentative="0">
      <w:start w:val="3"/>
      <w:numFmt w:val="decimal"/>
      <w:lvlText w:val="%1"/>
      <w:lvlJc w:val="left"/>
      <w:pPr>
        <w:ind w:left="480" w:hanging="480"/>
      </w:pPr>
      <w:rPr>
        <w:rFonts w:hint="default"/>
      </w:rPr>
    </w:lvl>
    <w:lvl w:ilvl="1" w:tentative="0">
      <w:start w:val="2"/>
      <w:numFmt w:val="decimal"/>
      <w:lvlText w:val="%1.%2"/>
      <w:lvlJc w:val="left"/>
      <w:pPr>
        <w:ind w:left="840" w:hanging="480"/>
      </w:pPr>
      <w:rPr>
        <w:rFonts w:hint="default"/>
      </w:rPr>
    </w:lvl>
    <w:lvl w:ilvl="2" w:tentative="0">
      <w:start w:val="2"/>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100">
    <w:nsid w:val="7911570D"/>
    <w:multiLevelType w:val="multilevel"/>
    <w:tmpl w:val="7911570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1">
    <w:nsid w:val="798B1AEF"/>
    <w:multiLevelType w:val="multilevel"/>
    <w:tmpl w:val="798B1A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79BD1417"/>
    <w:multiLevelType w:val="multilevel"/>
    <w:tmpl w:val="79BD141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3">
    <w:nsid w:val="7BDD2802"/>
    <w:multiLevelType w:val="multilevel"/>
    <w:tmpl w:val="7BDD28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7CE82751"/>
    <w:multiLevelType w:val="multilevel"/>
    <w:tmpl w:val="7CE827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5">
    <w:nsid w:val="7D44774F"/>
    <w:multiLevelType w:val="multilevel"/>
    <w:tmpl w:val="7D44774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6">
    <w:nsid w:val="7D696B70"/>
    <w:multiLevelType w:val="multilevel"/>
    <w:tmpl w:val="7D696B7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9"/>
  </w:num>
  <w:num w:numId="2">
    <w:abstractNumId w:val="83"/>
  </w:num>
  <w:num w:numId="3">
    <w:abstractNumId w:val="79"/>
  </w:num>
  <w:num w:numId="4">
    <w:abstractNumId w:val="102"/>
  </w:num>
  <w:num w:numId="5">
    <w:abstractNumId w:val="67"/>
  </w:num>
  <w:num w:numId="6">
    <w:abstractNumId w:val="54"/>
  </w:num>
  <w:num w:numId="7">
    <w:abstractNumId w:val="41"/>
  </w:num>
  <w:num w:numId="8">
    <w:abstractNumId w:val="101"/>
  </w:num>
  <w:num w:numId="9">
    <w:abstractNumId w:val="84"/>
  </w:num>
  <w:num w:numId="10">
    <w:abstractNumId w:val="56"/>
  </w:num>
  <w:num w:numId="11">
    <w:abstractNumId w:val="29"/>
  </w:num>
  <w:num w:numId="12">
    <w:abstractNumId w:val="95"/>
  </w:num>
  <w:num w:numId="13">
    <w:abstractNumId w:val="13"/>
  </w:num>
  <w:num w:numId="14">
    <w:abstractNumId w:val="65"/>
  </w:num>
  <w:num w:numId="15">
    <w:abstractNumId w:val="46"/>
  </w:num>
  <w:num w:numId="16">
    <w:abstractNumId w:val="96"/>
  </w:num>
  <w:num w:numId="17">
    <w:abstractNumId w:val="86"/>
  </w:num>
  <w:num w:numId="18">
    <w:abstractNumId w:val="42"/>
  </w:num>
  <w:num w:numId="19">
    <w:abstractNumId w:val="8"/>
  </w:num>
  <w:num w:numId="20">
    <w:abstractNumId w:val="48"/>
  </w:num>
  <w:num w:numId="21">
    <w:abstractNumId w:val="32"/>
  </w:num>
  <w:num w:numId="22">
    <w:abstractNumId w:val="61"/>
  </w:num>
  <w:num w:numId="23">
    <w:abstractNumId w:val="99"/>
  </w:num>
  <w:num w:numId="24">
    <w:abstractNumId w:val="52"/>
  </w:num>
  <w:num w:numId="25">
    <w:abstractNumId w:val="66"/>
  </w:num>
  <w:num w:numId="26">
    <w:abstractNumId w:val="98"/>
  </w:num>
  <w:num w:numId="27">
    <w:abstractNumId w:val="21"/>
  </w:num>
  <w:num w:numId="28">
    <w:abstractNumId w:val="34"/>
  </w:num>
  <w:num w:numId="29">
    <w:abstractNumId w:val="37"/>
  </w:num>
  <w:num w:numId="30">
    <w:abstractNumId w:val="26"/>
  </w:num>
  <w:num w:numId="31">
    <w:abstractNumId w:val="14"/>
  </w:num>
  <w:num w:numId="32">
    <w:abstractNumId w:val="81"/>
  </w:num>
  <w:num w:numId="33">
    <w:abstractNumId w:val="89"/>
  </w:num>
  <w:num w:numId="34">
    <w:abstractNumId w:val="93"/>
  </w:num>
  <w:num w:numId="35">
    <w:abstractNumId w:val="7"/>
  </w:num>
  <w:num w:numId="36">
    <w:abstractNumId w:val="15"/>
  </w:num>
  <w:num w:numId="37">
    <w:abstractNumId w:val="106"/>
  </w:num>
  <w:num w:numId="38">
    <w:abstractNumId w:val="23"/>
  </w:num>
  <w:num w:numId="39">
    <w:abstractNumId w:val="77"/>
  </w:num>
  <w:num w:numId="40">
    <w:abstractNumId w:val="39"/>
  </w:num>
  <w:num w:numId="41">
    <w:abstractNumId w:val="33"/>
  </w:num>
  <w:num w:numId="42">
    <w:abstractNumId w:val="91"/>
  </w:num>
  <w:num w:numId="43">
    <w:abstractNumId w:val="28"/>
  </w:num>
  <w:num w:numId="44">
    <w:abstractNumId w:val="38"/>
  </w:num>
  <w:num w:numId="45">
    <w:abstractNumId w:val="17"/>
  </w:num>
  <w:num w:numId="46">
    <w:abstractNumId w:val="104"/>
  </w:num>
  <w:num w:numId="47">
    <w:abstractNumId w:val="73"/>
  </w:num>
  <w:num w:numId="48">
    <w:abstractNumId w:val="43"/>
  </w:num>
  <w:num w:numId="49">
    <w:abstractNumId w:val="11"/>
  </w:num>
  <w:num w:numId="50">
    <w:abstractNumId w:val="75"/>
  </w:num>
  <w:num w:numId="51">
    <w:abstractNumId w:val="25"/>
  </w:num>
  <w:num w:numId="52">
    <w:abstractNumId w:val="35"/>
  </w:num>
  <w:num w:numId="53">
    <w:abstractNumId w:val="70"/>
  </w:num>
  <w:num w:numId="54">
    <w:abstractNumId w:val="36"/>
  </w:num>
  <w:num w:numId="55">
    <w:abstractNumId w:val="85"/>
  </w:num>
  <w:num w:numId="56">
    <w:abstractNumId w:val="30"/>
  </w:num>
  <w:num w:numId="57">
    <w:abstractNumId w:val="50"/>
  </w:num>
  <w:num w:numId="58">
    <w:abstractNumId w:val="63"/>
  </w:num>
  <w:num w:numId="59">
    <w:abstractNumId w:val="60"/>
  </w:num>
  <w:num w:numId="60">
    <w:abstractNumId w:val="80"/>
  </w:num>
  <w:num w:numId="61">
    <w:abstractNumId w:val="27"/>
  </w:num>
  <w:num w:numId="62">
    <w:abstractNumId w:val="76"/>
  </w:num>
  <w:num w:numId="63">
    <w:abstractNumId w:val="64"/>
  </w:num>
  <w:num w:numId="64">
    <w:abstractNumId w:val="58"/>
  </w:num>
  <w:num w:numId="65">
    <w:abstractNumId w:val="22"/>
  </w:num>
  <w:num w:numId="66">
    <w:abstractNumId w:val="24"/>
  </w:num>
  <w:num w:numId="67">
    <w:abstractNumId w:val="71"/>
  </w:num>
  <w:num w:numId="68">
    <w:abstractNumId w:val="94"/>
  </w:num>
  <w:num w:numId="69">
    <w:abstractNumId w:val="40"/>
  </w:num>
  <w:num w:numId="70">
    <w:abstractNumId w:val="57"/>
  </w:num>
  <w:num w:numId="71">
    <w:abstractNumId w:val="5"/>
  </w:num>
  <w:num w:numId="72">
    <w:abstractNumId w:val="105"/>
  </w:num>
  <w:num w:numId="73">
    <w:abstractNumId w:val="55"/>
  </w:num>
  <w:num w:numId="74">
    <w:abstractNumId w:val="88"/>
  </w:num>
  <w:num w:numId="75">
    <w:abstractNumId w:val="53"/>
  </w:num>
  <w:num w:numId="76">
    <w:abstractNumId w:val="97"/>
  </w:num>
  <w:num w:numId="77">
    <w:abstractNumId w:val="100"/>
  </w:num>
  <w:num w:numId="78">
    <w:abstractNumId w:val="49"/>
  </w:num>
  <w:num w:numId="79">
    <w:abstractNumId w:val="69"/>
  </w:num>
  <w:num w:numId="80">
    <w:abstractNumId w:val="18"/>
  </w:num>
  <w:num w:numId="81">
    <w:abstractNumId w:val="10"/>
  </w:num>
  <w:num w:numId="82">
    <w:abstractNumId w:val="82"/>
  </w:num>
  <w:num w:numId="83">
    <w:abstractNumId w:val="20"/>
  </w:num>
  <w:num w:numId="84">
    <w:abstractNumId w:val="4"/>
  </w:num>
  <w:num w:numId="85">
    <w:abstractNumId w:val="3"/>
  </w:num>
  <w:num w:numId="86">
    <w:abstractNumId w:val="19"/>
  </w:num>
  <w:num w:numId="87">
    <w:abstractNumId w:val="6"/>
  </w:num>
  <w:num w:numId="88">
    <w:abstractNumId w:val="90"/>
  </w:num>
  <w:num w:numId="89">
    <w:abstractNumId w:val="74"/>
  </w:num>
  <w:num w:numId="90">
    <w:abstractNumId w:val="87"/>
  </w:num>
  <w:num w:numId="91">
    <w:abstractNumId w:val="103"/>
  </w:num>
  <w:num w:numId="92">
    <w:abstractNumId w:val="47"/>
  </w:num>
  <w:num w:numId="93">
    <w:abstractNumId w:val="45"/>
  </w:num>
  <w:num w:numId="94">
    <w:abstractNumId w:val="92"/>
  </w:num>
  <w:num w:numId="95">
    <w:abstractNumId w:val="16"/>
  </w:num>
  <w:num w:numId="96">
    <w:abstractNumId w:val="12"/>
  </w:num>
  <w:num w:numId="97">
    <w:abstractNumId w:val="59"/>
  </w:num>
  <w:num w:numId="98">
    <w:abstractNumId w:val="51"/>
  </w:num>
  <w:num w:numId="99">
    <w:abstractNumId w:val="68"/>
  </w:num>
  <w:num w:numId="100">
    <w:abstractNumId w:val="62"/>
  </w:num>
  <w:num w:numId="101">
    <w:abstractNumId w:val="1"/>
  </w:num>
  <w:num w:numId="102">
    <w:abstractNumId w:val="72"/>
  </w:num>
  <w:num w:numId="103">
    <w:abstractNumId w:val="0"/>
  </w:num>
  <w:num w:numId="104">
    <w:abstractNumId w:val="2"/>
  </w:num>
  <w:num w:numId="105">
    <w:abstractNumId w:val="44"/>
  </w:num>
  <w:num w:numId="106">
    <w:abstractNumId w:val="78"/>
  </w:num>
  <w:num w:numId="107">
    <w:abstractNumId w:val="3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revisionView w:markup="0"/>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E28"/>
    <w:rsid w:val="000A3337"/>
    <w:rsid w:val="000B0920"/>
    <w:rsid w:val="000F0A4E"/>
    <w:rsid w:val="00117E28"/>
    <w:rsid w:val="00147821"/>
    <w:rsid w:val="0015467A"/>
    <w:rsid w:val="00357656"/>
    <w:rsid w:val="00444947"/>
    <w:rsid w:val="005473B8"/>
    <w:rsid w:val="005848DF"/>
    <w:rsid w:val="005C6508"/>
    <w:rsid w:val="00613A77"/>
    <w:rsid w:val="006525F8"/>
    <w:rsid w:val="006C0268"/>
    <w:rsid w:val="006E189E"/>
    <w:rsid w:val="006E28F5"/>
    <w:rsid w:val="007352DB"/>
    <w:rsid w:val="00745BC9"/>
    <w:rsid w:val="0076264D"/>
    <w:rsid w:val="007A69F8"/>
    <w:rsid w:val="007D5051"/>
    <w:rsid w:val="00806E83"/>
    <w:rsid w:val="00815CB9"/>
    <w:rsid w:val="00822E34"/>
    <w:rsid w:val="00866D95"/>
    <w:rsid w:val="008E4082"/>
    <w:rsid w:val="00904420"/>
    <w:rsid w:val="009C3942"/>
    <w:rsid w:val="00B66556"/>
    <w:rsid w:val="00BB3C1A"/>
    <w:rsid w:val="00BC0201"/>
    <w:rsid w:val="00BC3C34"/>
    <w:rsid w:val="00BF754A"/>
    <w:rsid w:val="00C65DB0"/>
    <w:rsid w:val="00C66AF8"/>
    <w:rsid w:val="00C87717"/>
    <w:rsid w:val="00D528A1"/>
    <w:rsid w:val="00DB0654"/>
    <w:rsid w:val="00E01102"/>
    <w:rsid w:val="00EE2B82"/>
    <w:rsid w:val="00F54281"/>
    <w:rsid w:val="00F7672D"/>
    <w:rsid w:val="00F87091"/>
    <w:rsid w:val="3F917181"/>
    <w:rsid w:val="5F5724AA"/>
    <w:rsid w:val="74E86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35"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mbria" w:hAnsi="Cambria" w:eastAsia="Calibri" w:cs="Times New Roman"/>
      <w:sz w:val="24"/>
      <w:szCs w:val="22"/>
      <w:lang w:val="en-GB" w:eastAsia="en-US" w:bidi="ar-SA"/>
    </w:rPr>
  </w:style>
  <w:style w:type="paragraph" w:styleId="2">
    <w:name w:val="heading 1"/>
    <w:basedOn w:val="1"/>
    <w:next w:val="1"/>
    <w:qFormat/>
    <w:uiPriority w:val="9"/>
    <w:pPr>
      <w:keepNext/>
      <w:keepLines/>
      <w:numPr>
        <w:ilvl w:val="0"/>
        <w:numId w:val="1"/>
      </w:numPr>
      <w:pBdr>
        <w:top w:val="single" w:color="auto" w:sz="18" w:space="1"/>
        <w:bottom w:val="single" w:color="auto" w:sz="18" w:space="1"/>
      </w:pBdr>
      <w:shd w:val="clear" w:color="auto" w:fill="E7E6E6"/>
      <w:spacing w:before="120" w:after="120" w:line="360" w:lineRule="auto"/>
      <w:outlineLvl w:val="0"/>
    </w:pPr>
    <w:rPr>
      <w:b/>
      <w:caps/>
      <w:szCs w:val="32"/>
    </w:rPr>
  </w:style>
  <w:style w:type="paragraph" w:styleId="3">
    <w:name w:val="heading 2"/>
    <w:basedOn w:val="1"/>
    <w:next w:val="1"/>
    <w:qFormat/>
    <w:uiPriority w:val="0"/>
    <w:pPr>
      <w:keepNext/>
      <w:keepLines/>
      <w:pBdr>
        <w:bottom w:val="single" w:color="1F497D" w:sz="12" w:space="1"/>
      </w:pBdr>
      <w:spacing w:before="240" w:after="120" w:line="276" w:lineRule="auto"/>
      <w:ind w:left="576" w:hanging="576"/>
      <w:jc w:val="both"/>
      <w:outlineLvl w:val="1"/>
    </w:pPr>
    <w:rPr>
      <w:rFonts w:ascii="Calibri" w:hAnsi="Calibri" w:cs="Calibri"/>
      <w:b/>
      <w:smallCaps/>
      <w:sz w:val="28"/>
      <w:szCs w:val="28"/>
    </w:rPr>
  </w:style>
  <w:style w:type="paragraph" w:styleId="4">
    <w:name w:val="heading 3"/>
    <w:basedOn w:val="1"/>
    <w:next w:val="1"/>
    <w:unhideWhenUsed/>
    <w:qFormat/>
    <w:uiPriority w:val="9"/>
    <w:pPr>
      <w:keepNext/>
      <w:keepLines/>
      <w:numPr>
        <w:ilvl w:val="2"/>
        <w:numId w:val="1"/>
      </w:numPr>
      <w:pBdr>
        <w:bottom w:val="dashed" w:color="auto" w:sz="4" w:space="1"/>
      </w:pBdr>
      <w:shd w:val="clear" w:color="auto" w:fill="4472C4"/>
      <w:spacing w:before="40" w:after="0"/>
      <w:outlineLvl w:val="2"/>
    </w:pPr>
    <w:rPr>
      <w:rFonts w:eastAsia="DengXian Light"/>
      <w:szCs w:val="24"/>
    </w:rPr>
  </w:style>
  <w:style w:type="paragraph" w:styleId="5">
    <w:name w:val="heading 4"/>
    <w:basedOn w:val="1"/>
    <w:next w:val="1"/>
    <w:unhideWhenUsed/>
    <w:qFormat/>
    <w:uiPriority w:val="9"/>
    <w:pPr>
      <w:keepNext/>
      <w:keepLines/>
      <w:pBdr>
        <w:bottom w:val="double" w:color="auto" w:sz="4" w:space="1"/>
      </w:pBdr>
      <w:spacing w:before="40" w:after="0"/>
      <w:jc w:val="both"/>
      <w:outlineLvl w:val="3"/>
    </w:pPr>
    <w:rPr>
      <w:rFonts w:ascii="Times New Roman" w:hAnsi="Times New Roman"/>
      <w:b/>
      <w:i/>
      <w:iCs/>
      <w:szCs w:val="24"/>
    </w:rPr>
  </w:style>
  <w:style w:type="character" w:default="1" w:styleId="6">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0"/>
    <w:pPr>
      <w:spacing w:line="276" w:lineRule="auto"/>
      <w:ind w:right="138"/>
      <w:jc w:val="both"/>
    </w:pPr>
    <w:rPr>
      <w:rFonts w:ascii="Arial" w:hAnsi="Arial" w:eastAsia="Batang" w:cs="Arial"/>
      <w:color w:val="000000"/>
      <w:sz w:val="22"/>
      <w:lang w:eastAsia="ko-KR"/>
    </w:rPr>
  </w:style>
  <w:style w:type="paragraph" w:styleId="9">
    <w:name w:val="Body Text 2"/>
    <w:basedOn w:val="1"/>
    <w:unhideWhenUsed/>
    <w:qFormat/>
    <w:uiPriority w:val="99"/>
    <w:pPr>
      <w:spacing w:after="120" w:line="480" w:lineRule="auto"/>
    </w:pPr>
  </w:style>
  <w:style w:type="paragraph" w:styleId="10">
    <w:name w:val="caption"/>
    <w:basedOn w:val="1"/>
    <w:next w:val="1"/>
    <w:unhideWhenUsed/>
    <w:qFormat/>
    <w:uiPriority w:val="35"/>
    <w:pPr>
      <w:spacing w:after="200" w:line="240" w:lineRule="auto"/>
    </w:pPr>
    <w:rPr>
      <w:i/>
      <w:iCs/>
      <w:color w:val="44546A"/>
      <w:szCs w:val="24"/>
    </w:rPr>
  </w:style>
  <w:style w:type="character" w:styleId="11">
    <w:name w:val="annotation reference"/>
    <w:basedOn w:val="6"/>
    <w:qFormat/>
    <w:uiPriority w:val="99"/>
    <w:rPr>
      <w:sz w:val="16"/>
      <w:szCs w:val="16"/>
    </w:rPr>
  </w:style>
  <w:style w:type="paragraph" w:styleId="12">
    <w:name w:val="annotation text"/>
    <w:basedOn w:val="1"/>
    <w:link w:val="43"/>
    <w:qFormat/>
    <w:uiPriority w:val="99"/>
  </w:style>
  <w:style w:type="paragraph" w:styleId="13">
    <w:name w:val="annotation subject"/>
    <w:basedOn w:val="12"/>
    <w:next w:val="12"/>
    <w:link w:val="44"/>
    <w:qFormat/>
    <w:uiPriority w:val="0"/>
    <w:pPr>
      <w:spacing w:line="240" w:lineRule="auto"/>
    </w:pPr>
    <w:rPr>
      <w:b/>
      <w:bCs/>
      <w:sz w:val="20"/>
      <w:szCs w:val="20"/>
    </w:rPr>
  </w:style>
  <w:style w:type="paragraph" w:styleId="14">
    <w:name w:val="footer"/>
    <w:basedOn w:val="9"/>
    <w:unhideWhenUsed/>
    <w:qFormat/>
    <w:uiPriority w:val="99"/>
    <w:pPr>
      <w:tabs>
        <w:tab w:val="center" w:pos="4513"/>
        <w:tab w:val="right" w:pos="9026"/>
      </w:tabs>
      <w:spacing w:after="0" w:line="240" w:lineRule="auto"/>
    </w:pPr>
  </w:style>
  <w:style w:type="paragraph" w:styleId="15">
    <w:name w:val="header"/>
    <w:basedOn w:val="9"/>
    <w:unhideWhenUsed/>
    <w:qFormat/>
    <w:uiPriority w:val="99"/>
    <w:pPr>
      <w:tabs>
        <w:tab w:val="center" w:pos="4513"/>
        <w:tab w:val="right" w:pos="9026"/>
      </w:tabs>
      <w:spacing w:after="0" w:line="240" w:lineRule="auto"/>
    </w:pPr>
  </w:style>
  <w:style w:type="character" w:styleId="16">
    <w:name w:val="Hyperlink"/>
    <w:basedOn w:val="6"/>
    <w:unhideWhenUsed/>
    <w:qFormat/>
    <w:uiPriority w:val="99"/>
    <w:rPr>
      <w:color w:val="0000FF"/>
      <w:u w:val="single"/>
    </w:r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szCs w:val="24"/>
      <w:lang w:eastAsia="en-GB"/>
    </w:rPr>
  </w:style>
  <w:style w:type="character" w:styleId="18">
    <w:name w:val="Strong"/>
    <w:basedOn w:val="6"/>
    <w:qFormat/>
    <w:uiPriority w:val="22"/>
    <w:rPr>
      <w:b/>
      <w:bCs/>
    </w:rPr>
  </w:style>
  <w:style w:type="paragraph" w:styleId="19">
    <w:name w:val="Subtitle"/>
    <w:basedOn w:val="1"/>
    <w:next w:val="1"/>
    <w:qFormat/>
    <w:uiPriority w:val="11"/>
    <w:pPr>
      <w:spacing w:before="120" w:after="120" w:line="360" w:lineRule="auto"/>
      <w:jc w:val="both"/>
    </w:pPr>
    <w:rPr>
      <w:rFonts w:eastAsia="MS Gothic"/>
      <w:b/>
      <w:iCs/>
      <w:spacing w:val="15"/>
      <w:szCs w:val="24"/>
      <w:lang w:val="en-US"/>
    </w:rPr>
  </w:style>
  <w:style w:type="table" w:styleId="20">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table of figures"/>
    <w:basedOn w:val="1"/>
    <w:next w:val="1"/>
    <w:unhideWhenUsed/>
    <w:qFormat/>
    <w:uiPriority w:val="99"/>
    <w:pPr>
      <w:spacing w:after="0"/>
    </w:pPr>
  </w:style>
  <w:style w:type="paragraph" w:styleId="22">
    <w:name w:val="Title"/>
    <w:basedOn w:val="1"/>
    <w:next w:val="1"/>
    <w:qFormat/>
    <w:uiPriority w:val="10"/>
    <w:pPr>
      <w:spacing w:before="240" w:after="240" w:line="360" w:lineRule="auto"/>
      <w:contextualSpacing/>
      <w:jc w:val="center"/>
    </w:pPr>
    <w:rPr>
      <w:rFonts w:eastAsia="MS Gothic"/>
      <w:b/>
      <w:caps/>
      <w:spacing w:val="5"/>
      <w:kern w:val="28"/>
      <w:sz w:val="28"/>
      <w:szCs w:val="52"/>
      <w:lang w:val="en-US"/>
    </w:rPr>
  </w:style>
  <w:style w:type="paragraph" w:styleId="23">
    <w:name w:val="toc 1"/>
    <w:basedOn w:val="1"/>
    <w:next w:val="1"/>
    <w:unhideWhenUsed/>
    <w:qFormat/>
    <w:uiPriority w:val="39"/>
    <w:pPr>
      <w:spacing w:after="100"/>
    </w:pPr>
  </w:style>
  <w:style w:type="paragraph" w:styleId="24">
    <w:name w:val="toc 2"/>
    <w:basedOn w:val="1"/>
    <w:next w:val="1"/>
    <w:unhideWhenUsed/>
    <w:qFormat/>
    <w:uiPriority w:val="39"/>
    <w:pPr>
      <w:spacing w:after="100"/>
      <w:ind w:left="220"/>
    </w:pPr>
  </w:style>
  <w:style w:type="paragraph" w:styleId="25">
    <w:name w:val="toc 3"/>
    <w:basedOn w:val="1"/>
    <w:next w:val="1"/>
    <w:unhideWhenUsed/>
    <w:qFormat/>
    <w:uiPriority w:val="39"/>
    <w:pPr>
      <w:spacing w:after="100"/>
      <w:ind w:left="440"/>
    </w:pPr>
  </w:style>
  <w:style w:type="paragraph" w:styleId="26">
    <w:name w:val="toc 4"/>
    <w:basedOn w:val="1"/>
    <w:next w:val="1"/>
    <w:unhideWhenUsed/>
    <w:qFormat/>
    <w:uiPriority w:val="39"/>
    <w:pPr>
      <w:spacing w:after="100" w:line="278" w:lineRule="auto"/>
      <w:ind w:left="720"/>
    </w:pPr>
    <w:rPr>
      <w:rFonts w:asciiTheme="minorHAnsi" w:hAnsiTheme="minorHAnsi" w:eastAsiaTheme="minorEastAsia" w:cstheme="minorBidi"/>
      <w:kern w:val="2"/>
      <w:szCs w:val="24"/>
      <w:lang w:val="en-US" w:eastAsia="zh-CN"/>
    </w:rPr>
  </w:style>
  <w:style w:type="paragraph" w:styleId="27">
    <w:name w:val="toc 5"/>
    <w:basedOn w:val="1"/>
    <w:next w:val="1"/>
    <w:unhideWhenUsed/>
    <w:qFormat/>
    <w:uiPriority w:val="39"/>
    <w:pPr>
      <w:spacing w:after="100" w:line="278" w:lineRule="auto"/>
      <w:ind w:left="960"/>
    </w:pPr>
    <w:rPr>
      <w:rFonts w:asciiTheme="minorHAnsi" w:hAnsiTheme="minorHAnsi" w:eastAsiaTheme="minorEastAsia" w:cstheme="minorBidi"/>
      <w:kern w:val="2"/>
      <w:szCs w:val="24"/>
      <w:lang w:val="en-US" w:eastAsia="zh-CN"/>
    </w:rPr>
  </w:style>
  <w:style w:type="paragraph" w:styleId="28">
    <w:name w:val="toc 6"/>
    <w:basedOn w:val="1"/>
    <w:next w:val="1"/>
    <w:unhideWhenUsed/>
    <w:qFormat/>
    <w:uiPriority w:val="39"/>
    <w:pPr>
      <w:spacing w:after="100" w:line="278" w:lineRule="auto"/>
      <w:ind w:left="1200"/>
    </w:pPr>
    <w:rPr>
      <w:rFonts w:asciiTheme="minorHAnsi" w:hAnsiTheme="minorHAnsi" w:eastAsiaTheme="minorEastAsia" w:cstheme="minorBidi"/>
      <w:kern w:val="2"/>
      <w:szCs w:val="24"/>
      <w:lang w:val="en-US" w:eastAsia="zh-CN"/>
    </w:rPr>
  </w:style>
  <w:style w:type="paragraph" w:styleId="29">
    <w:name w:val="toc 7"/>
    <w:basedOn w:val="1"/>
    <w:next w:val="1"/>
    <w:unhideWhenUsed/>
    <w:qFormat/>
    <w:uiPriority w:val="39"/>
    <w:pPr>
      <w:spacing w:after="100" w:line="278" w:lineRule="auto"/>
      <w:ind w:left="1440"/>
    </w:pPr>
    <w:rPr>
      <w:rFonts w:asciiTheme="minorHAnsi" w:hAnsiTheme="minorHAnsi" w:eastAsiaTheme="minorEastAsia" w:cstheme="minorBidi"/>
      <w:kern w:val="2"/>
      <w:szCs w:val="24"/>
      <w:lang w:val="en-US" w:eastAsia="zh-CN"/>
    </w:rPr>
  </w:style>
  <w:style w:type="paragraph" w:styleId="30">
    <w:name w:val="toc 8"/>
    <w:basedOn w:val="1"/>
    <w:next w:val="1"/>
    <w:unhideWhenUsed/>
    <w:qFormat/>
    <w:uiPriority w:val="39"/>
    <w:pPr>
      <w:spacing w:after="100" w:line="278" w:lineRule="auto"/>
      <w:ind w:left="1680"/>
    </w:pPr>
    <w:rPr>
      <w:rFonts w:asciiTheme="minorHAnsi" w:hAnsiTheme="minorHAnsi" w:eastAsiaTheme="minorEastAsia" w:cstheme="minorBidi"/>
      <w:kern w:val="2"/>
      <w:szCs w:val="24"/>
      <w:lang w:val="en-US" w:eastAsia="zh-CN"/>
    </w:rPr>
  </w:style>
  <w:style w:type="paragraph" w:styleId="31">
    <w:name w:val="toc 9"/>
    <w:basedOn w:val="1"/>
    <w:next w:val="1"/>
    <w:unhideWhenUsed/>
    <w:qFormat/>
    <w:uiPriority w:val="39"/>
    <w:pPr>
      <w:spacing w:after="100" w:line="278" w:lineRule="auto"/>
      <w:ind w:left="1920"/>
    </w:pPr>
    <w:rPr>
      <w:rFonts w:asciiTheme="minorHAnsi" w:hAnsiTheme="minorHAnsi" w:eastAsiaTheme="minorEastAsia" w:cstheme="minorBidi"/>
      <w:kern w:val="2"/>
      <w:szCs w:val="24"/>
      <w:lang w:val="en-US" w:eastAsia="zh-CN"/>
    </w:rPr>
  </w:style>
  <w:style w:type="paragraph" w:customStyle="1" w:styleId="32">
    <w:name w:val="List Paragraph1"/>
    <w:basedOn w:val="1"/>
    <w:link w:val="46"/>
    <w:qFormat/>
    <w:uiPriority w:val="34"/>
    <w:pPr>
      <w:ind w:left="720"/>
      <w:contextualSpacing/>
    </w:pPr>
  </w:style>
  <w:style w:type="table" w:customStyle="1" w:styleId="33">
    <w:name w:val="Table Grid1"/>
    <w:basedOn w:val="7"/>
    <w:qFormat/>
    <w:uiPriority w:val="59"/>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Table Grid11"/>
    <w:basedOn w:val="7"/>
    <w:qFormat/>
    <w:uiPriority w:val="59"/>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
    <w:name w:val="L_Kopfzeile"/>
    <w:basedOn w:val="1"/>
    <w:qFormat/>
    <w:uiPriority w:val="0"/>
    <w:pPr>
      <w:tabs>
        <w:tab w:val="left" w:pos="1060"/>
      </w:tabs>
      <w:adjustRightInd w:val="0"/>
      <w:spacing w:line="220" w:lineRule="atLeast"/>
      <w:jc w:val="both"/>
      <w:textAlignment w:val="center"/>
    </w:pPr>
    <w:rPr>
      <w:rFonts w:cs="ArialMT"/>
      <w:color w:val="E73729"/>
      <w:spacing w:val="2"/>
      <w:sz w:val="18"/>
      <w:szCs w:val="18"/>
      <w:lang w:eastAsia="de-DE"/>
    </w:rPr>
  </w:style>
  <w:style w:type="paragraph" w:customStyle="1" w:styleId="36">
    <w:name w:val="TOC Heading1"/>
    <w:basedOn w:val="2"/>
    <w:next w:val="1"/>
    <w:unhideWhenUsed/>
    <w:qFormat/>
    <w:uiPriority w:val="39"/>
    <w:pPr>
      <w:spacing w:before="240" w:line="259" w:lineRule="auto"/>
      <w:outlineLvl w:val="9"/>
    </w:pPr>
    <w:rPr>
      <w:rFonts w:ascii="Calibri Light" w:hAnsi="Calibri Light" w:eastAsia="DengXian Light"/>
      <w:color w:val="2E75B5"/>
      <w:sz w:val="32"/>
    </w:rPr>
  </w:style>
  <w:style w:type="paragraph" w:customStyle="1" w:styleId="37">
    <w:name w:val="L_Seitenzahl"/>
    <w:basedOn w:val="1"/>
    <w:qFormat/>
    <w:uiPriority w:val="0"/>
    <w:pPr>
      <w:adjustRightInd w:val="0"/>
      <w:textAlignment w:val="center"/>
    </w:pPr>
    <w:rPr>
      <w:rFonts w:cs="ArialMT"/>
      <w:b/>
      <w:spacing w:val="2"/>
      <w:sz w:val="18"/>
      <w:szCs w:val="18"/>
      <w:lang w:val="de-DE" w:eastAsia="de-DE"/>
    </w:rPr>
  </w:style>
  <w:style w:type="paragraph" w:customStyle="1" w:styleId="38">
    <w:name w:val="L_Datum"/>
    <w:basedOn w:val="1"/>
    <w:qFormat/>
    <w:uiPriority w:val="0"/>
    <w:pPr>
      <w:adjustRightInd w:val="0"/>
      <w:spacing w:after="260"/>
      <w:textAlignment w:val="center"/>
    </w:pPr>
    <w:rPr>
      <w:rFonts w:cs="ArialMT"/>
      <w:b/>
      <w:spacing w:val="2"/>
      <w:sz w:val="18"/>
      <w:szCs w:val="18"/>
      <w:lang w:eastAsia="de-DE"/>
    </w:rPr>
  </w:style>
  <w:style w:type="paragraph" w:customStyle="1" w:styleId="39">
    <w:name w:val="L_Name Autor"/>
    <w:basedOn w:val="1"/>
    <w:qFormat/>
    <w:uiPriority w:val="0"/>
    <w:pPr>
      <w:adjustRightInd w:val="0"/>
      <w:spacing w:before="260"/>
      <w:textAlignment w:val="center"/>
    </w:pPr>
    <w:rPr>
      <w:rFonts w:cs="ArialMT"/>
      <w:spacing w:val="2"/>
      <w:sz w:val="18"/>
      <w:szCs w:val="18"/>
      <w:lang w:eastAsia="de-DE"/>
    </w:rPr>
  </w:style>
  <w:style w:type="paragraph" w:customStyle="1" w:styleId="40">
    <w:name w:val="L_Referenceblock Header"/>
    <w:basedOn w:val="1"/>
    <w:qFormat/>
    <w:uiPriority w:val="0"/>
    <w:pPr>
      <w:adjustRightInd w:val="0"/>
      <w:spacing w:before="260"/>
      <w:textAlignment w:val="center"/>
    </w:pPr>
    <w:rPr>
      <w:rFonts w:cs="ArialMT"/>
      <w:color w:val="8B8281"/>
      <w:spacing w:val="2"/>
      <w:sz w:val="18"/>
      <w:szCs w:val="18"/>
      <w:lang w:eastAsia="de-DE"/>
    </w:rPr>
  </w:style>
  <w:style w:type="paragraph" w:customStyle="1" w:styleId="41">
    <w:name w:val="L_Referenceblock"/>
    <w:basedOn w:val="1"/>
    <w:qFormat/>
    <w:uiPriority w:val="0"/>
    <w:pPr>
      <w:adjustRightInd w:val="0"/>
      <w:contextualSpacing/>
      <w:textAlignment w:val="center"/>
    </w:pPr>
    <w:rPr>
      <w:rFonts w:cs="ArialMT"/>
      <w:spacing w:val="2"/>
      <w:sz w:val="18"/>
      <w:szCs w:val="18"/>
      <w:lang w:eastAsia="de-DE"/>
    </w:rPr>
  </w:style>
  <w:style w:type="paragraph" w:customStyle="1" w:styleId="42">
    <w:name w:val="Revision1"/>
    <w:hidden/>
    <w:unhideWhenUsed/>
    <w:qFormat/>
    <w:uiPriority w:val="99"/>
    <w:pPr>
      <w:spacing w:after="160" w:line="278" w:lineRule="auto"/>
    </w:pPr>
    <w:rPr>
      <w:rFonts w:ascii="Cambria" w:hAnsi="Cambria" w:eastAsia="Calibri" w:cs="Times New Roman"/>
      <w:sz w:val="24"/>
      <w:szCs w:val="22"/>
      <w:lang w:val="en-GB" w:eastAsia="en-US" w:bidi="ar-SA"/>
    </w:rPr>
  </w:style>
  <w:style w:type="character" w:customStyle="1" w:styleId="43">
    <w:name w:val="Comment Text Char"/>
    <w:basedOn w:val="6"/>
    <w:link w:val="12"/>
    <w:qFormat/>
    <w:uiPriority w:val="99"/>
    <w:rPr>
      <w:rFonts w:ascii="Cambria" w:hAnsi="Cambria" w:eastAsia="Calibri" w:cs="Times New Roman"/>
      <w:sz w:val="24"/>
      <w:szCs w:val="22"/>
      <w:lang w:val="en-GB" w:eastAsia="en-US"/>
    </w:rPr>
  </w:style>
  <w:style w:type="character" w:customStyle="1" w:styleId="44">
    <w:name w:val="Comment Subject Char"/>
    <w:basedOn w:val="43"/>
    <w:link w:val="13"/>
    <w:qFormat/>
    <w:uiPriority w:val="0"/>
    <w:rPr>
      <w:rFonts w:ascii="Cambria" w:hAnsi="Cambria" w:eastAsia="Calibri" w:cs="Times New Roman"/>
      <w:b/>
      <w:bCs/>
      <w:sz w:val="24"/>
      <w:szCs w:val="22"/>
      <w:lang w:val="en-GB" w:eastAsia="en-US"/>
    </w:rPr>
  </w:style>
  <w:style w:type="character" w:customStyle="1" w:styleId="45">
    <w:name w:val="Unresolved Mention1"/>
    <w:basedOn w:val="6"/>
    <w:unhideWhenUsed/>
    <w:qFormat/>
    <w:uiPriority w:val="99"/>
    <w:rPr>
      <w:color w:val="605E5C"/>
      <w:shd w:val="clear" w:color="auto" w:fill="E1DFDD"/>
    </w:rPr>
  </w:style>
  <w:style w:type="character" w:customStyle="1" w:styleId="46">
    <w:name w:val="List Paragraph Char"/>
    <w:link w:val="32"/>
    <w:qFormat/>
    <w:locked/>
    <w:uiPriority w:val="34"/>
    <w:rPr>
      <w:rFonts w:ascii="Cambria" w:hAnsi="Cambria" w:eastAsia="Calibri" w:cs="Times New Roman"/>
      <w:sz w:val="24"/>
      <w:szCs w:val="22"/>
      <w:lang w:val="en-GB" w:eastAsia="en-US"/>
    </w:rPr>
  </w:style>
  <w:style w:type="paragraph" w:customStyle="1" w:styleId="47">
    <w:name w:val="Revision2"/>
    <w:hidden/>
    <w:unhideWhenUsed/>
    <w:qFormat/>
    <w:uiPriority w:val="99"/>
    <w:pPr>
      <w:spacing w:after="160" w:line="278" w:lineRule="auto"/>
    </w:pPr>
    <w:rPr>
      <w:rFonts w:ascii="Cambria" w:hAnsi="Cambria" w:eastAsia="Calibri" w:cs="Times New Roman"/>
      <w:sz w:val="24"/>
      <w:szCs w:val="22"/>
      <w:lang w:val="en-GB" w:eastAsia="en-US" w:bidi="ar-SA"/>
    </w:rPr>
  </w:style>
  <w:style w:type="table" w:customStyle="1" w:styleId="48">
    <w:name w:val="Plain Table 11"/>
    <w:basedOn w:val="7"/>
    <w:qFormat/>
    <w:uiPriority w:val="99"/>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49">
    <w:name w:val="Revision"/>
    <w:hidden/>
    <w:unhideWhenUsed/>
    <w:uiPriority w:val="99"/>
    <w:pPr>
      <w:spacing w:after="0" w:line="240" w:lineRule="auto"/>
    </w:pPr>
    <w:rPr>
      <w:rFonts w:ascii="Cambria" w:hAnsi="Cambria" w:eastAsia="Calibri" w:cs="Times New Roman"/>
      <w:sz w:val="24"/>
      <w:szCs w:val="22"/>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3" Type="http://schemas.microsoft.com/office/2011/relationships/people" Target="people.xml"/><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header" Target="header2.xml"/><Relationship Id="rId79" Type="http://schemas.openxmlformats.org/officeDocument/2006/relationships/customXml" Target="../customXml/item1.xml"/><Relationship Id="rId78" Type="http://schemas.openxmlformats.org/officeDocument/2006/relationships/image" Target="media/image37.jpeg"/><Relationship Id="rId77" Type="http://schemas.openxmlformats.org/officeDocument/2006/relationships/image" Target="media/image36.jpeg"/><Relationship Id="rId76" Type="http://schemas.openxmlformats.org/officeDocument/2006/relationships/image" Target="media/image35.jpeg"/><Relationship Id="rId75" Type="http://schemas.openxmlformats.org/officeDocument/2006/relationships/image" Target="media/image34.jpeg"/><Relationship Id="rId74" Type="http://schemas.openxmlformats.org/officeDocument/2006/relationships/image" Target="media/image33.jpeg"/><Relationship Id="rId73" Type="http://schemas.openxmlformats.org/officeDocument/2006/relationships/image" Target="media/image32.png"/><Relationship Id="rId72" Type="http://schemas.openxmlformats.org/officeDocument/2006/relationships/image" Target="media/image31.jpeg"/><Relationship Id="rId71" Type="http://schemas.openxmlformats.org/officeDocument/2006/relationships/image" Target="media/image30.jpeg"/><Relationship Id="rId70" Type="http://schemas.openxmlformats.org/officeDocument/2006/relationships/image" Target="media/image29.jpeg"/><Relationship Id="rId7" Type="http://schemas.openxmlformats.org/officeDocument/2006/relationships/header" Target="header1.xml"/><Relationship Id="rId69" Type="http://schemas.openxmlformats.org/officeDocument/2006/relationships/image" Target="media/image28.jpeg"/><Relationship Id="rId68" Type="http://schemas.openxmlformats.org/officeDocument/2006/relationships/image" Target="media/image27.jpeg"/><Relationship Id="rId67" Type="http://schemas.openxmlformats.org/officeDocument/2006/relationships/image" Target="media/image26.png"/><Relationship Id="rId66" Type="http://schemas.openxmlformats.org/officeDocument/2006/relationships/image" Target="media/image25.jpeg"/><Relationship Id="rId65" Type="http://schemas.openxmlformats.org/officeDocument/2006/relationships/image" Target="media/image24.jpeg"/><Relationship Id="rId64" Type="http://schemas.openxmlformats.org/officeDocument/2006/relationships/image" Target="media/image23.jpeg"/><Relationship Id="rId63" Type="http://schemas.openxmlformats.org/officeDocument/2006/relationships/image" Target="media/image22.jpeg"/><Relationship Id="rId62" Type="http://schemas.openxmlformats.org/officeDocument/2006/relationships/image" Target="media/image21.jpeg"/><Relationship Id="rId61" Type="http://schemas.openxmlformats.org/officeDocument/2006/relationships/image" Target="media/image20.jpeg"/><Relationship Id="rId60" Type="http://schemas.openxmlformats.org/officeDocument/2006/relationships/image" Target="media/image19.jpeg"/><Relationship Id="rId6" Type="http://schemas.openxmlformats.org/officeDocument/2006/relationships/endnotes" Target="endnotes.xml"/><Relationship Id="rId59" Type="http://schemas.openxmlformats.org/officeDocument/2006/relationships/image" Target="media/image18.jpeg"/><Relationship Id="rId58" Type="http://schemas.openxmlformats.org/officeDocument/2006/relationships/image" Target="media/image17.jpe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chart" Target="charts/chart21.xml"/><Relationship Id="rId54" Type="http://schemas.openxmlformats.org/officeDocument/2006/relationships/chart" Target="charts/chart20.xml"/><Relationship Id="rId53" Type="http://schemas.openxmlformats.org/officeDocument/2006/relationships/chart" Target="charts/chart19.xml"/><Relationship Id="rId52" Type="http://schemas.openxmlformats.org/officeDocument/2006/relationships/chart" Target="charts/chart18.xml"/><Relationship Id="rId51" Type="http://schemas.openxmlformats.org/officeDocument/2006/relationships/chart" Target="charts/chart17.xml"/><Relationship Id="rId50" Type="http://schemas.openxmlformats.org/officeDocument/2006/relationships/chart" Target="charts/chart16.xml"/><Relationship Id="rId5" Type="http://schemas.openxmlformats.org/officeDocument/2006/relationships/footnotes" Target="footnotes.xml"/><Relationship Id="rId49" Type="http://schemas.openxmlformats.org/officeDocument/2006/relationships/image" Target="media/image14.png"/><Relationship Id="rId48" Type="http://schemas.openxmlformats.org/officeDocument/2006/relationships/chart" Target="charts/chart15.xml"/><Relationship Id="rId47" Type="http://schemas.openxmlformats.org/officeDocument/2006/relationships/chart" Target="charts/chart14.xml"/><Relationship Id="rId46" Type="http://schemas.openxmlformats.org/officeDocument/2006/relationships/chart" Target="charts/chart13.xml"/><Relationship Id="rId45" Type="http://schemas.openxmlformats.org/officeDocument/2006/relationships/chart" Target="charts/chart12.xml"/><Relationship Id="rId44" Type="http://schemas.openxmlformats.org/officeDocument/2006/relationships/chart" Target="charts/chart11.xml"/><Relationship Id="rId43" Type="http://schemas.openxmlformats.org/officeDocument/2006/relationships/chart" Target="charts/chart10.xml"/><Relationship Id="rId42" Type="http://schemas.openxmlformats.org/officeDocument/2006/relationships/chart" Target="charts/chart9.xml"/><Relationship Id="rId41" Type="http://schemas.openxmlformats.org/officeDocument/2006/relationships/chart" Target="charts/chart8.xml"/><Relationship Id="rId40" Type="http://schemas.openxmlformats.org/officeDocument/2006/relationships/chart" Target="charts/chart7.xml"/><Relationship Id="rId4" Type="http://schemas.microsoft.com/office/2011/relationships/commentsExtended" Target="commentsExtended.xml"/><Relationship Id="rId39" Type="http://schemas.openxmlformats.org/officeDocument/2006/relationships/chart" Target="charts/chart6.xml"/><Relationship Id="rId38" Type="http://schemas.openxmlformats.org/officeDocument/2006/relationships/chart" Target="charts/chart5.xml"/><Relationship Id="rId37" Type="http://schemas.openxmlformats.org/officeDocument/2006/relationships/chart" Target="charts/chart4.xml"/><Relationship Id="rId36" Type="http://schemas.openxmlformats.org/officeDocument/2006/relationships/chart" Target="charts/chart3.xml"/><Relationship Id="rId35" Type="http://schemas.openxmlformats.org/officeDocument/2006/relationships/chart" Target="charts/chart2.xml"/><Relationship Id="rId34" Type="http://schemas.openxmlformats.org/officeDocument/2006/relationships/chart" Target="charts/chart1.xml"/><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jpeg"/><Relationship Id="rId3" Type="http://schemas.openxmlformats.org/officeDocument/2006/relationships/comments" Target="comments.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pn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png"/><Relationship Id="rId22" Type="http://schemas.openxmlformats.org/officeDocument/2006/relationships/image" Target="media/image2.jpe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6.xml"/><Relationship Id="rId17" Type="http://schemas.openxmlformats.org/officeDocument/2006/relationships/footer" Target="footer6.xml"/><Relationship Id="rId16" Type="http://schemas.openxmlformats.org/officeDocument/2006/relationships/header" Target="header5.xml"/><Relationship Id="rId15" Type="http://schemas.openxmlformats.org/officeDocument/2006/relationships/footer" Target="footer5.xml"/><Relationship Id="rId14" Type="http://schemas.openxmlformats.org/officeDocument/2006/relationships/header" Target="header4.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3.xml"/><Relationship Id="rId10" Type="http://schemas.openxmlformats.org/officeDocument/2006/relationships/footer" Target="footer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work\2019\kilifi%20ESIA%20RAP\analysed%20data\kimawasco%20ESIA\1)%20Analysed_Kilifi_KIMAWASCO-ESIA_April_2019.xlsx"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work\2019\kilifi%20ESIA%20RAP\analysed%20data\kimawasco%20ESIA\1)%20Analysed_Kilifi_KIMAWASCO-ESIA_April_201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work\2019\kilifi%20ESIA%20RAP\analysed%20data\kimawasco%20ESIA\1)%20Analysed_Kilifi_KIMAWASCO-ESIA_April_2019.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work\2019\kilifi%20ESIA%20RAP\analysed%20data\kimawasco%20ESIA\1)%20Analysed_Kilifi_KIMAWASCO-ESIA_April_2019.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work\2019\kilifi%20ESIA%20RAP\analysed%20data\kimawasco%20ESIA\1)%20Analysed_Kilifi_KIMAWASCO-ESIA_April_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work\2019\kilifi%20ESIA%20RAP\analysed%20data\kimawasco%20ESIA\1)%20Analysed_Kilifi_KIMAWASCO-ESIA_April_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en-US" sz="1200" b="1" i="1" u="none" strike="noStrike" kern="1200" baseline="0">
                <a:solidFill>
                  <a:srgbClr val="000000"/>
                </a:solidFill>
                <a:latin typeface="Times New Roman" panose="02020603050405020304" charset="0"/>
                <a:ea typeface="+mn-ea"/>
                <a:cs typeface="Times New Roman" panose="02020603050405020304" charset="0"/>
              </a:defRPr>
            </a:pPr>
            <a:r>
              <a:rPr lang="en-US" sz="1200" i="1"/>
              <a:t>Household Members by Age Group</a:t>
            </a:r>
            <a:endParaRPr lang="en-US" sz="1200" i="1"/>
          </a:p>
        </c:rich>
      </c:tx>
      <c:layout/>
      <c:overlay val="0"/>
    </c:title>
    <c:autoTitleDeleted val="0"/>
    <c:plotArea>
      <c:layout>
        <c:manualLayout>
          <c:layoutTarget val="inner"/>
          <c:xMode val="edge"/>
          <c:yMode val="edge"/>
          <c:x val="0.123878076561185"/>
          <c:y val="0.161156399728568"/>
          <c:w val="0.773889714257418"/>
          <c:h val="0.772068606560176"/>
        </c:manualLayout>
      </c:layout>
      <c:pieChart>
        <c:varyColors val="1"/>
        <c:ser>
          <c:idx val="0"/>
          <c:order val="0"/>
          <c:explosion val="25"/>
          <c:dPt>
            <c:idx val="0"/>
            <c:bubble3D val="0"/>
            <c:explosion val="4"/>
          </c:dPt>
          <c:dPt>
            <c:idx val="1"/>
            <c:bubble3D val="0"/>
            <c:explosion val="1"/>
          </c:dPt>
          <c:dPt>
            <c:idx val="2"/>
            <c:bubble3D val="0"/>
            <c:explosion val="3"/>
          </c:dPt>
          <c:dPt>
            <c:idx val="3"/>
            <c:bubble3D val="0"/>
            <c:explosion val="5"/>
          </c:dPt>
          <c:dPt>
            <c:idx val="4"/>
            <c:bubble3D val="0"/>
            <c:explosion val="13"/>
          </c:dPt>
          <c:dPt>
            <c:idx val="5"/>
            <c:bubble3D val="0"/>
            <c:explosion val="14"/>
          </c:dPt>
          <c:dLbls>
            <c:dLbl>
              <c:idx val="0"/>
              <c:layout>
                <c:manualLayout>
                  <c:x val="-0.0855269660330119"/>
                  <c:y val="0.11420148483520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200124315004557"/>
                  <c:y val="-0.056125476331517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89557100341537"/>
                  <c:y val="-0.13667632875063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0206624276568"/>
                  <c:y val="0.12886876544850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172914485628055"/>
                  <c:y val="-0.0088124376655158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358711740194859"/>
                  <c:y val="-0.012773512342670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'HH Data'!$O$367:$T$367</c:f>
              <c:strCache>
                <c:ptCount val="6"/>
                <c:pt idx="0">
                  <c:v>0 - 5 Yrs</c:v>
                </c:pt>
                <c:pt idx="1">
                  <c:v>6- 18 Yrs</c:v>
                </c:pt>
                <c:pt idx="2">
                  <c:v>19 - 35 Yrs</c:v>
                </c:pt>
                <c:pt idx="3">
                  <c:v>36 - 49 Yrs</c:v>
                </c:pt>
                <c:pt idx="4">
                  <c:v>50 - 65 Yrs</c:v>
                </c:pt>
                <c:pt idx="5">
                  <c:v>Over 66 Yrs</c:v>
                </c:pt>
              </c:strCache>
            </c:strRef>
          </c:cat>
          <c:val>
            <c:numRef>
              <c:f>'HH Data'!$O$369:$T$369</c:f>
              <c:numCache>
                <c:formatCode>0%</c:formatCode>
                <c:ptCount val="6"/>
                <c:pt idx="0">
                  <c:v>0.138050470064325</c:v>
                </c:pt>
                <c:pt idx="1">
                  <c:v>0.315190499752598</c:v>
                </c:pt>
                <c:pt idx="2">
                  <c:v>0.350321622958931</c:v>
                </c:pt>
                <c:pt idx="3">
                  <c:v>0.1316180108857</c:v>
                </c:pt>
                <c:pt idx="4">
                  <c:v>0.0499752597723899</c:v>
                </c:pt>
                <c:pt idx="5">
                  <c:v>0.0148441365660564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extLst>
      <c:ext uri="{0b15fc19-7d7d-44ad-8c2d-2c3a37ce22c3}">
        <chartProps xmlns="https://web.wps.cn/et/2018/main" chartId="{a4bd82b2-9a2b-4a8a-be67-b0f919c1a3c5}"/>
      </c:ext>
    </c:extLst>
  </c:chart>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Payment for 20 ltr</a:t>
            </a:r>
            <a:r>
              <a:rPr lang="en-US" sz="1100" i="1" baseline="0"/>
              <a:t> Jerrican</a:t>
            </a:r>
            <a:endParaRPr lang="en-US" sz="1100" i="1"/>
          </a:p>
        </c:rich>
      </c:tx>
      <c:layout/>
      <c:overlay val="0"/>
    </c:title>
    <c:autoTitleDeleted val="0"/>
    <c:plotArea>
      <c:layout>
        <c:manualLayout>
          <c:layoutTarget val="inner"/>
          <c:xMode val="edge"/>
          <c:yMode val="edge"/>
          <c:x val="0.129664238028338"/>
          <c:y val="0.0932369894441162"/>
          <c:w val="0.743509654654165"/>
          <c:h val="0.867727974681132"/>
        </c:manualLayout>
      </c:layout>
      <c:pieChart>
        <c:varyColors val="1"/>
        <c:ser>
          <c:idx val="0"/>
          <c:order val="0"/>
          <c:explosion val="25"/>
          <c:dPt>
            <c:idx val="0"/>
            <c:bubble3D val="0"/>
            <c:explosion val="2"/>
          </c:dPt>
          <c:dPt>
            <c:idx val="1"/>
            <c:bubble3D val="0"/>
            <c:explosion val="3"/>
          </c:dPt>
          <c:dPt>
            <c:idx val="2"/>
            <c:bubble3D val="0"/>
            <c:explosion val="3"/>
          </c:dPt>
          <c:dPt>
            <c:idx val="3"/>
            <c:bubble3D val="0"/>
            <c:explosion val="1"/>
          </c:dPt>
          <c:dLbls>
            <c:dLbl>
              <c:idx val="1"/>
              <c:layout>
                <c:manualLayout>
                  <c:x val="-0.167463000267621"/>
                  <c:y val="-0.11605148720860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'Water &amp; Sanitation'!$AF$366:$AF$369</c:f>
              <c:strCache>
                <c:ptCount val="4"/>
                <c:pt idx="0">
                  <c:v>Ksh. 2</c:v>
                </c:pt>
                <c:pt idx="1">
                  <c:v>Ksh. 5</c:v>
                </c:pt>
                <c:pt idx="2">
                  <c:v>Ksh. 10</c:v>
                </c:pt>
                <c:pt idx="3">
                  <c:v>Above Ksh 10</c:v>
                </c:pt>
              </c:strCache>
            </c:strRef>
          </c:cat>
          <c:val>
            <c:numRef>
              <c:f>'Water &amp; Sanitation'!$AH$366:$AH$369</c:f>
              <c:numCache>
                <c:formatCode>0%</c:formatCode>
                <c:ptCount val="4"/>
                <c:pt idx="0">
                  <c:v>0.0069204152249135</c:v>
                </c:pt>
                <c:pt idx="1">
                  <c:v>0.522491349480969</c:v>
                </c:pt>
                <c:pt idx="2">
                  <c:v>0.397923875432526</c:v>
                </c:pt>
                <c:pt idx="3">
                  <c:v>0.0726643598615917</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extLst>
      <c:ext uri="{0b15fc19-7d7d-44ad-8c2d-2c3a37ce22c3}">
        <chartProps xmlns="https://web.wps.cn/et/2018/main" chartId="{68553221-a1d1-4c66-ad11-c7dc9b107ee4}"/>
      </c:ext>
    </c:extLst>
  </c:chart>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solidFill>
                  <a:srgbClr val="000000"/>
                </a:solidFill>
              </a:rPr>
              <a:t>Water Quality</a:t>
            </a:r>
            <a:endParaRPr lang="en-US" sz="1100" i="1">
              <a:solidFill>
                <a:srgbClr val="000000"/>
              </a:solidFill>
            </a:endParaRPr>
          </a:p>
        </c:rich>
      </c:tx>
      <c:layout/>
      <c:overlay val="0"/>
      <c:spPr>
        <a:noFill/>
        <a:ln>
          <a:noFill/>
        </a:ln>
        <a:effectLst/>
      </c:spPr>
    </c:title>
    <c:autoTitleDeleted val="0"/>
    <c:plotArea>
      <c:layout/>
      <c:pieChart>
        <c:varyColors val="1"/>
        <c:ser>
          <c:idx val="0"/>
          <c:order val="0"/>
          <c:spPr>
            <a:effectLst>
              <a:outerShdw blurRad="40000" dir="5400000" rotWithShape="0">
                <a:srgbClr val="000000">
                  <a:alpha val="35000"/>
                </a:srgbClr>
              </a:outerShdw>
            </a:effectLst>
            <a:scene3d>
              <a:camera prst="orthographicFront"/>
              <a:lightRig rig="threePt" dir="t"/>
            </a:scene3d>
            <a:sp3d>
              <a:bevelT/>
            </a:sp3d>
          </c:spPr>
          <c:explosion val="0"/>
          <c:dPt>
            <c:idx val="0"/>
            <c:bubble3D val="0"/>
            <c:spPr>
              <a:gradFill rotWithShape="1">
                <a:gsLst>
                  <a:gs pos="0">
                    <a:srgbClr val="C5570C">
                      <a:shade val="51000"/>
                      <a:satMod val="130000"/>
                    </a:srgbClr>
                  </a:gs>
                  <a:gs pos="80000">
                    <a:srgbClr val="FF7414">
                      <a:shade val="93000"/>
                      <a:satMod val="130000"/>
                    </a:srgbClr>
                  </a:gs>
                  <a:gs pos="100000">
                    <a:srgbClr val="FF730F">
                      <a:shade val="94000"/>
                      <a:satMod val="135000"/>
                    </a:srgbClr>
                  </a:gs>
                </a:gsLst>
                <a:lin ang="16200000" scaled="0"/>
              </a:gradFill>
              <a:ln>
                <a:noFill/>
              </a:ln>
              <a:effectLst>
                <a:outerShdw blurRad="40000" dir="5400000" rotWithShape="0">
                  <a:srgbClr val="000000">
                    <a:alpha val="35000"/>
                  </a:srgbClr>
                </a:outerShdw>
              </a:effectLst>
              <a:scene3d>
                <a:camera prst="orthographicFront"/>
                <a:lightRig rig="threePt" dir="t"/>
              </a:scene3d>
              <a:sp3d>
                <a:bevelT/>
              </a:sp3d>
            </c:spPr>
          </c:dPt>
          <c:dPt>
            <c:idx val="1"/>
            <c:bubble3D val="0"/>
            <c:spPr>
              <a:gradFill rotWithShape="1">
                <a:gsLst>
                  <a:gs pos="0">
                    <a:srgbClr val="DA9C00">
                      <a:shade val="51000"/>
                      <a:satMod val="130000"/>
                    </a:srgbClr>
                  </a:gs>
                  <a:gs pos="80000">
                    <a:srgbClr val="FFCD00">
                      <a:shade val="93000"/>
                      <a:satMod val="130000"/>
                    </a:srgbClr>
                  </a:gs>
                  <a:gs pos="100000">
                    <a:srgbClr val="FFD100">
                      <a:shade val="94000"/>
                      <a:satMod val="135000"/>
                    </a:srgbClr>
                  </a:gs>
                </a:gsLst>
                <a:lin ang="16200000" scaled="0"/>
              </a:gradFill>
              <a:ln>
                <a:noFill/>
              </a:ln>
              <a:effectLst>
                <a:outerShdw blurRad="40000" dir="5400000" rotWithShape="0">
                  <a:srgbClr val="000000">
                    <a:alpha val="35000"/>
                  </a:srgbClr>
                </a:outerShdw>
              </a:effectLst>
              <a:scene3d>
                <a:camera prst="orthographicFront"/>
                <a:lightRig rig="threePt" dir="t"/>
              </a:scene3d>
              <a:sp3d>
                <a:bevelT/>
              </a:sp3d>
            </c:spPr>
          </c:dPt>
          <c:dPt>
            <c:idx val="2"/>
            <c:bubble3D val="0"/>
            <c:spPr>
              <a:gradFill rotWithShape="1">
                <a:gsLst>
                  <a:gs pos="0">
                    <a:srgbClr val="4F8B27">
                      <a:shade val="51000"/>
                      <a:satMod val="130000"/>
                    </a:srgbClr>
                  </a:gs>
                  <a:gs pos="80000">
                    <a:srgbClr val="69B636">
                      <a:shade val="93000"/>
                      <a:satMod val="130000"/>
                    </a:srgbClr>
                  </a:gs>
                  <a:gs pos="100000">
                    <a:srgbClr val="69BA33">
                      <a:shade val="94000"/>
                      <a:satMod val="135000"/>
                    </a:srgbClr>
                  </a:gs>
                </a:gsLst>
                <a:lin ang="16200000" scaled="0"/>
              </a:gradFill>
              <a:ln>
                <a:noFill/>
              </a:ln>
              <a:effectLst>
                <a:outerShdw blurRad="40000" dir="5400000" rotWithShape="0">
                  <a:srgbClr val="000000">
                    <a:alpha val="35000"/>
                  </a:srgbClr>
                </a:outerShdw>
              </a:effectLst>
              <a:scene3d>
                <a:camera prst="orthographicFront"/>
                <a:lightRig rig="threePt" dir="t"/>
              </a:scene3d>
              <a:sp3d>
                <a:bevelT/>
              </a:sp3d>
            </c:spPr>
          </c:dPt>
          <c:dLbls>
            <c:dLbl>
              <c:idx val="0"/>
              <c:layout>
                <c:manualLayout>
                  <c:x val="-0.150035588553698"/>
                  <c:y val="-0.179031865140208"/>
                </c:manualLayout>
              </c:layout>
              <c:numFmt formatCode="General" sourceLinked="1"/>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numFmt formatCode="General" sourceLinked="1"/>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1"/>
              <c:showCatName val="1"/>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fld id="{a7a90090-4c32-410b-9ccc-7390666a78e8}" type="CATEGORYNAME">
                      <a:t>[CATEGORY NAME]</a:t>
                    </a:fld>
                    <a:r>
                      <a:t>,</a:t>
                    </a:r>
                    <a:fld id="{e49265b2-b994-4203-a708-eda7ef5b6b6a}" type="VALUE">
                      <a:t>[VALUE]</a:t>
                    </a:fld>
                  </a:p>
                </c:rich>
              </c:tx>
              <c:numFmt formatCode="General" sourceLinked="1"/>
              <c:spPr>
                <a:noFill/>
                <a:ln>
                  <a:noFill/>
                </a:ln>
                <a:effectLst/>
              </c:spPr>
              <c:txPr>
                <a:bodyPr rot="0" spcFirstLastPara="1"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44546A"/>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B7C2D1">
                          <a:lumMod val="35000"/>
                          <a:lumOff val="65000"/>
                        </a:srgbClr>
                      </a:solidFill>
                      <a:prstDash val="solid"/>
                      <a:round/>
                    </a:ln>
                    <a:effectLst/>
                  </c:spPr>
                </c15:leaderLines>
              </c:ext>
            </c:extLst>
          </c:dLbls>
          <c:cat>
            <c:strRef>
              <c:f>'Water &amp; Sanitation'!$T$366:$T$368</c:f>
              <c:strCache>
                <c:ptCount val="3"/>
                <c:pt idx="0">
                  <c:v>Good</c:v>
                </c:pt>
                <c:pt idx="1">
                  <c:v>Fair</c:v>
                </c:pt>
                <c:pt idx="2">
                  <c:v>Bad</c:v>
                </c:pt>
              </c:strCache>
            </c:strRef>
          </c:cat>
          <c:val>
            <c:numRef>
              <c:f>'Water &amp; Sanitation'!$V$366:$V$368</c:f>
              <c:numCache>
                <c:formatCode>0%</c:formatCode>
                <c:ptCount val="3"/>
                <c:pt idx="0">
                  <c:v>0.640226628895184</c:v>
                </c:pt>
                <c:pt idx="1">
                  <c:v>0.305949008498584</c:v>
                </c:pt>
                <c:pt idx="2">
                  <c:v>0.0538243626062323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c:ext uri="{0b15fc19-7d7d-44ad-8c2d-2c3a37ce22c3}">
        <chartProps xmlns="https://web.wps.cn/et/2018/main" chartId="{28892ee1-3145-4593-8c8f-47f6821b06a4}"/>
      </c:ext>
    </c:extLst>
  </c:chart>
  <c:spPr>
    <a:solidFill>
      <a:srgbClr val="FFFFFF"/>
    </a:solidFill>
    <a:ln w="9525" cap="flat" cmpd="sng" algn="ctr">
      <a:solidFill>
        <a:srgbClr val="E0E5EB">
          <a:lumMod val="15000"/>
          <a:lumOff val="85000"/>
        </a:srgbClr>
      </a:solidFill>
      <a:prstDash val="solid"/>
      <a:round/>
    </a:ln>
    <a:effectLst/>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latin typeface="Times New Roman" panose="02020603050405020304" charset="0"/>
                <a:cs typeface="Times New Roman" panose="02020603050405020304" charset="0"/>
              </a:rPr>
              <a:t>Fetching Water Frequecy</a:t>
            </a:r>
            <a:endParaRPr lang="en-US" sz="1100" i="1">
              <a:latin typeface="Times New Roman" panose="02020603050405020304" charset="0"/>
              <a:cs typeface="Times New Roman" panose="02020603050405020304" charset="0"/>
            </a:endParaRPr>
          </a:p>
        </c:rich>
      </c:tx>
      <c:layout>
        <c:manualLayout>
          <c:xMode val="edge"/>
          <c:yMode val="edge"/>
          <c:x val="0.319288564539189"/>
          <c:y val="0.0413436692506461"/>
        </c:manualLayout>
      </c:layout>
      <c:overlay val="0"/>
    </c:title>
    <c:autoTitleDeleted val="0"/>
    <c:plotArea>
      <c:layout>
        <c:manualLayout>
          <c:layoutTarget val="inner"/>
          <c:xMode val="edge"/>
          <c:yMode val="edge"/>
          <c:x val="0.133009109155473"/>
          <c:y val="0.101735781040458"/>
          <c:w val="0.661078933352378"/>
          <c:h val="0.898264218959542"/>
        </c:manualLayout>
      </c:layout>
      <c:pieChart>
        <c:varyColors val="1"/>
        <c:ser>
          <c:idx val="0"/>
          <c:order val="0"/>
          <c:explosion val="25"/>
          <c:dPt>
            <c:idx val="0"/>
            <c:bubble3D val="0"/>
            <c:explosion val="0"/>
          </c:dPt>
          <c:dPt>
            <c:idx val="1"/>
            <c:bubble3D val="0"/>
            <c:explosion val="5"/>
          </c:dPt>
          <c:dPt>
            <c:idx val="2"/>
            <c:bubble3D val="0"/>
            <c:explosion val="3"/>
          </c:dPt>
          <c:dLbls>
            <c:dLbl>
              <c:idx val="0"/>
              <c:layout>
                <c:manualLayout>
                  <c:x val="-0.196021876521273"/>
                  <c:y val="-0.064765920586618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Cambria" panose="02040503050406030204" pitchFamily="1" charset="0"/>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'Water &amp; Sanitation'!$X$366:$X$368</c:f>
              <c:strCache>
                <c:ptCount val="3"/>
                <c:pt idx="0">
                  <c:v>Every day</c:v>
                </c:pt>
                <c:pt idx="1">
                  <c:v>Every alternate day of the week</c:v>
                </c:pt>
                <c:pt idx="2">
                  <c:v>Once a week</c:v>
                </c:pt>
              </c:strCache>
            </c:strRef>
          </c:cat>
          <c:val>
            <c:numRef>
              <c:f>'Water &amp; Sanitation'!$Z$366:$Z$368</c:f>
              <c:numCache>
                <c:formatCode>0%</c:formatCode>
                <c:ptCount val="3"/>
                <c:pt idx="0">
                  <c:v>0.747826086956522</c:v>
                </c:pt>
                <c:pt idx="1">
                  <c:v>0.205797101449275</c:v>
                </c:pt>
                <c:pt idx="2">
                  <c:v>0.0463768115942029</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extLst>
      <c:ext uri="{0b15fc19-7d7d-44ad-8c2d-2c3a37ce22c3}">
        <chartProps xmlns="https://web.wps.cn/et/2018/main" chartId="{2ea31abd-58a3-419e-a576-96a53309d8cd}"/>
      </c:ext>
    </c:extLst>
  </c:chart>
  <c:txPr>
    <a:bodyPr/>
    <a:lstStyle/>
    <a:p>
      <a:pPr>
        <a:defRPr lang="en-US" sz="900">
          <a:latin typeface="Cambria" panose="02040503050406030204" pitchFamily="1" charset="0"/>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Waste Disposal Method</a:t>
            </a:r>
            <a:endParaRPr lang="en-US" sz="1100" i="1"/>
          </a:p>
        </c:rich>
      </c:tx>
      <c:layout>
        <c:manualLayout>
          <c:xMode val="edge"/>
          <c:yMode val="edge"/>
          <c:x val="0.359250346935646"/>
          <c:y val="0.0197650449732588"/>
        </c:manualLayout>
      </c:layout>
      <c:overlay val="0"/>
    </c:title>
    <c:autoTitleDeleted val="0"/>
    <c:plotArea>
      <c:layout>
        <c:manualLayout>
          <c:layoutTarget val="inner"/>
          <c:xMode val="edge"/>
          <c:yMode val="edge"/>
          <c:x val="0.124194441448245"/>
          <c:y val="0.110400607818759"/>
          <c:w val="0.739890219202055"/>
          <c:h val="0.852820831606584"/>
        </c:manualLayout>
      </c:layout>
      <c:pieChart>
        <c:varyColors val="1"/>
        <c:ser>
          <c:idx val="0"/>
          <c:order val="0"/>
          <c:explosion val="25"/>
          <c:dPt>
            <c:idx val="0"/>
            <c:bubble3D val="0"/>
            <c:explosion val="0"/>
          </c:dPt>
          <c:dPt>
            <c:idx val="1"/>
            <c:bubble3D val="0"/>
            <c:explosion val="3"/>
          </c:dPt>
          <c:dPt>
            <c:idx val="2"/>
            <c:bubble3D val="0"/>
            <c:explosion val="3"/>
          </c:dPt>
          <c:dPt>
            <c:idx val="3"/>
            <c:bubble3D val="0"/>
            <c:explosion val="6"/>
          </c:dPt>
          <c:dPt>
            <c:idx val="4"/>
            <c:bubble3D val="0"/>
          </c:dPt>
          <c:dLbls>
            <c:dLbl>
              <c:idx val="3"/>
              <c:layout>
                <c:manualLayout>
                  <c:x val="0.123638897700382"/>
                  <c:y val="-0.15012602559764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'Water &amp; Sanitation'!$AR$366:$AR$370</c:f>
              <c:strCache>
                <c:ptCount val="5"/>
                <c:pt idx="0">
                  <c:v>Composit pit/burying</c:v>
                </c:pt>
                <c:pt idx="1">
                  <c:v>Collection by the county</c:v>
                </c:pt>
                <c:pt idx="2">
                  <c:v>Recycling</c:v>
                </c:pt>
                <c:pt idx="3">
                  <c:v>Burning</c:v>
                </c:pt>
                <c:pt idx="4">
                  <c:v>Dumping in the area</c:v>
                </c:pt>
              </c:strCache>
            </c:strRef>
          </c:cat>
          <c:val>
            <c:numRef>
              <c:f>'Water &amp; Sanitation'!$AT$366:$AT$370</c:f>
              <c:numCache>
                <c:formatCode>0%</c:formatCode>
                <c:ptCount val="5"/>
                <c:pt idx="0">
                  <c:v>0.178470254957507</c:v>
                </c:pt>
                <c:pt idx="1">
                  <c:v>0.223796033994334</c:v>
                </c:pt>
                <c:pt idx="2">
                  <c:v>0.0028328611898017</c:v>
                </c:pt>
                <c:pt idx="3">
                  <c:v>0.456090651558074</c:v>
                </c:pt>
                <c:pt idx="4">
                  <c:v>0.138810198300283</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extLst>
      <c:ext uri="{0b15fc19-7d7d-44ad-8c2d-2c3a37ce22c3}">
        <chartProps xmlns="https://web.wps.cn/et/2018/main" chartId="{abe90b46-3d3e-489c-be5a-b8dce263a1df}"/>
      </c:ext>
    </c:extLst>
  </c:chart>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Household with Toilet</a:t>
            </a:r>
            <a:endParaRPr lang="en-US" sz="1100" i="1"/>
          </a:p>
        </c:rich>
      </c:tx>
      <c:layout/>
      <c:overlay val="0"/>
    </c:title>
    <c:autoTitleDeleted val="0"/>
    <c:plotArea>
      <c:layout>
        <c:manualLayout>
          <c:layoutTarget val="inner"/>
          <c:xMode val="edge"/>
          <c:yMode val="edge"/>
          <c:x val="0.174417979002625"/>
          <c:y val="0.132191076115486"/>
          <c:w val="0.639902230971129"/>
          <c:h val="0.767882677165355"/>
        </c:manualLayout>
      </c:layout>
      <c:pieChart>
        <c:varyColors val="1"/>
        <c:ser>
          <c:idx val="0"/>
          <c:order val="0"/>
          <c:explosion val="25"/>
          <c:dPt>
            <c:idx val="0"/>
            <c:bubble3D val="0"/>
            <c:explosion val="4"/>
          </c:dPt>
          <c:dPt>
            <c:idx val="1"/>
            <c:bubble3D val="0"/>
            <c:explosion val="0"/>
          </c:dPt>
          <c:dLbls>
            <c:dLbl>
              <c:idx val="0"/>
              <c:layout>
                <c:manualLayout>
                  <c:x val="0.0055443252373886"/>
                  <c:y val="-0.27666944033253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ctr"/>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'Water &amp; Sanitation'!$AV$366:$AV$367</c:f>
              <c:strCache>
                <c:ptCount val="2"/>
                <c:pt idx="0">
                  <c:v>Yes</c:v>
                </c:pt>
                <c:pt idx="1">
                  <c:v>No</c:v>
                </c:pt>
              </c:strCache>
            </c:strRef>
          </c:cat>
          <c:val>
            <c:numRef>
              <c:f>'Water &amp; Sanitation'!$AX$366:$AX$367</c:f>
              <c:numCache>
                <c:formatCode>0%</c:formatCode>
                <c:ptCount val="2"/>
                <c:pt idx="0">
                  <c:v>0.911931818181818</c:v>
                </c:pt>
                <c:pt idx="1">
                  <c:v>0.0880681818181818</c:v>
                </c:pt>
              </c:numCache>
            </c:numRef>
          </c:val>
        </c:ser>
        <c:dLbls>
          <c:showLegendKey val="0"/>
          <c:showVal val="0"/>
          <c:showCatName val="0"/>
          <c:showSerName val="0"/>
          <c:showPercent val="1"/>
          <c:showBubbleSize val="0"/>
          <c:showLeaderLines val="1"/>
        </c:dLbls>
        <c:firstSliceAng val="0"/>
      </c:pieChart>
      <c:spPr>
        <a:noFill/>
        <a:ln w="25400">
          <a:noFill/>
        </a:ln>
      </c:spPr>
    </c:plotArea>
    <c:plotVisOnly val="1"/>
    <c:dispBlanksAs val="zero"/>
    <c:showDLblsOverMax val="0"/>
    <c:extLst>
      <c:ext uri="{0b15fc19-7d7d-44ad-8c2d-2c3a37ce22c3}">
        <chartProps xmlns="https://web.wps.cn/et/2018/main" chartId="{cb45b61b-90c4-4f0e-af2b-d2dacf566fd9}"/>
      </c:ext>
    </c:extLst>
  </c:chart>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Type </a:t>
            </a:r>
            <a:r>
              <a:rPr lang="en-US" sz="1100" i="1" baseline="0"/>
              <a:t> of Toilet</a:t>
            </a:r>
            <a:endParaRPr lang="en-US" sz="1100" i="1"/>
          </a:p>
        </c:rich>
      </c:tx>
      <c:layout/>
      <c:overlay val="0"/>
    </c:title>
    <c:autoTitleDeleted val="0"/>
    <c:plotArea>
      <c:layout/>
      <c:pieChart>
        <c:varyColors val="1"/>
        <c:ser>
          <c:idx val="0"/>
          <c:order val="0"/>
          <c:explosion val="0"/>
          <c:dPt>
            <c:idx val="0"/>
            <c:bubble3D val="0"/>
          </c:dPt>
          <c:dPt>
            <c:idx val="1"/>
            <c:bubble3D val="0"/>
          </c:dPt>
          <c:dPt>
            <c:idx val="2"/>
            <c:bubble3D val="0"/>
          </c:dPt>
          <c:dLbls>
            <c:dLbl>
              <c:idx val="2"/>
              <c:layout>
                <c:manualLayout>
                  <c:x val="-0.199379374453193"/>
                  <c:y val="0.11220491446413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'Water &amp; Sanitation'!$AZ$366:$AZ$368</c:f>
              <c:strCache>
                <c:ptCount val="3"/>
                <c:pt idx="0">
                  <c:v>Flush system with Septic tank</c:v>
                </c:pt>
                <c:pt idx="1">
                  <c:v>Pit latrine</c:v>
                </c:pt>
                <c:pt idx="2">
                  <c:v>Flush system connected to the sewer line</c:v>
                </c:pt>
              </c:strCache>
            </c:strRef>
          </c:cat>
          <c:val>
            <c:numRef>
              <c:f>'Water &amp; Sanitation'!$BB$366:$BB$368</c:f>
              <c:numCache>
                <c:formatCode>0%</c:formatCode>
                <c:ptCount val="3"/>
                <c:pt idx="0">
                  <c:v>0.300613496932515</c:v>
                </c:pt>
                <c:pt idx="1">
                  <c:v>0.665644171779141</c:v>
                </c:pt>
                <c:pt idx="2">
                  <c:v>0.0337423312883436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extLst>
      <c:ext uri="{0b15fc19-7d7d-44ad-8c2d-2c3a37ce22c3}">
        <chartProps xmlns="https://web.wps.cn/et/2018/main" chartId="{3e7fbc3c-85f4-4790-9c81-c146f8ed4d11}"/>
      </c:ext>
    </c:extLst>
  </c:chart>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cap="all" spc="150" baseline="0">
                <a:solidFill>
                  <a:srgbClr val="808080">
                    <a:lumMod val="50000"/>
                    <a:lumOff val="50000"/>
                  </a:srgbClr>
                </a:solidFill>
                <a:latin typeface="+mn-lt"/>
                <a:ea typeface="+mn-ea"/>
                <a:cs typeface="+mn-cs"/>
              </a:defRPr>
            </a:pPr>
            <a:r>
              <a:rPr lang="en-US"/>
              <a:t>Environmental Conservation Initiatives</a:t>
            </a:r>
            <a:endParaRPr lang="en-US"/>
          </a:p>
        </c:rich>
      </c:tx>
      <c:layout/>
      <c:overlay val="0"/>
      <c:spPr>
        <a:noFill/>
        <a:ln>
          <a:noFill/>
        </a:ln>
        <a:effectLst/>
      </c:spPr>
    </c:title>
    <c:autoTitleDeleted val="0"/>
    <c:plotArea>
      <c:layout>
        <c:manualLayout>
          <c:layoutTarget val="inner"/>
          <c:xMode val="edge"/>
          <c:yMode val="edge"/>
          <c:x val="0.0134661539400598"/>
          <c:y val="0.188087345859262"/>
          <c:w val="0.706124885552097"/>
          <c:h val="0.776556779507421"/>
        </c:manualLayout>
      </c:layout>
      <c:barChart>
        <c:barDir val="bar"/>
        <c:grouping val="clustered"/>
        <c:varyColors val="1"/>
        <c:ser>
          <c:idx val="0"/>
          <c:order val="0"/>
          <c:spPr/>
          <c:invertIfNegative val="0"/>
          <c:dPt>
            <c:idx val="0"/>
            <c:invertIfNegative val="0"/>
            <c:bubble3D val="0"/>
            <c:spPr>
              <a:pattFill prst="narVert">
                <a:fgClr>
                  <a:srgbClr val="5B9BD5"/>
                </a:fgClr>
                <a:bgClr>
                  <a:srgbClr val="DEEBF7">
                    <a:lumMod val="20000"/>
                    <a:lumOff val="80000"/>
                  </a:srgbClr>
                </a:bgClr>
              </a:pattFill>
              <a:ln>
                <a:noFill/>
              </a:ln>
              <a:effectLst>
                <a:innerShdw blurRad="114300">
                  <a:srgbClr val="5B9BD5"/>
                </a:innerShdw>
              </a:effectLst>
            </c:spPr>
          </c:dPt>
          <c:dPt>
            <c:idx val="1"/>
            <c:invertIfNegative val="0"/>
            <c:bubble3D val="0"/>
            <c:spPr>
              <a:pattFill prst="narVert">
                <a:fgClr>
                  <a:srgbClr val="ED7D31"/>
                </a:fgClr>
                <a:bgClr>
                  <a:srgbClr val="FBE5D6">
                    <a:lumMod val="20000"/>
                    <a:lumOff val="80000"/>
                  </a:srgbClr>
                </a:bgClr>
              </a:pattFill>
              <a:ln>
                <a:noFill/>
              </a:ln>
              <a:effectLst>
                <a:innerShdw blurRad="114300">
                  <a:srgbClr val="ED7D31"/>
                </a:innerShdw>
              </a:effectLst>
            </c:spPr>
          </c:dPt>
          <c:dPt>
            <c:idx val="2"/>
            <c:invertIfNegative val="0"/>
            <c:bubble3D val="0"/>
            <c:spPr>
              <a:pattFill prst="narVert">
                <a:fgClr>
                  <a:srgbClr val="A5A5A5"/>
                </a:fgClr>
                <a:bgClr>
                  <a:srgbClr val="EDEDED">
                    <a:lumMod val="20000"/>
                    <a:lumOff val="80000"/>
                  </a:srgbClr>
                </a:bgClr>
              </a:pattFill>
              <a:ln>
                <a:noFill/>
              </a:ln>
              <a:effectLst>
                <a:innerShdw blurRad="114300">
                  <a:srgbClr val="A5A5A5"/>
                </a:innerShdw>
              </a:effectLst>
            </c:spPr>
          </c:dPt>
          <c:dPt>
            <c:idx val="3"/>
            <c:invertIfNegative val="0"/>
            <c:bubble3D val="0"/>
            <c:spPr>
              <a:pattFill prst="narVert">
                <a:fgClr>
                  <a:srgbClr val="FFC000"/>
                </a:fgClr>
                <a:bgClr>
                  <a:srgbClr val="FFF2CC">
                    <a:lumMod val="20000"/>
                    <a:lumOff val="80000"/>
                  </a:srgbClr>
                </a:bgClr>
              </a:pattFill>
              <a:ln>
                <a:noFill/>
              </a:ln>
              <a:effectLst>
                <a:innerShdw blurRad="114300">
                  <a:srgbClr val="FFC000"/>
                </a:innerShdw>
              </a:effectLst>
            </c:spPr>
          </c:dPt>
          <c:dPt>
            <c:idx val="4"/>
            <c:invertIfNegative val="0"/>
            <c:bubble3D val="0"/>
            <c:spPr>
              <a:pattFill prst="narVert">
                <a:fgClr>
                  <a:srgbClr val="4472C4"/>
                </a:fgClr>
                <a:bgClr>
                  <a:srgbClr val="DAE3F3">
                    <a:lumMod val="20000"/>
                    <a:lumOff val="80000"/>
                  </a:srgbClr>
                </a:bgClr>
              </a:pattFill>
              <a:ln>
                <a:noFill/>
              </a:ln>
              <a:effectLst>
                <a:innerShdw blurRad="114300">
                  <a:srgbClr val="4472C4"/>
                </a:innerShdw>
              </a:effectLst>
            </c:spPr>
          </c:dPt>
          <c:dPt>
            <c:idx val="5"/>
            <c:invertIfNegative val="0"/>
            <c:bubble3D val="0"/>
            <c:spPr>
              <a:pattFill prst="narVert">
                <a:fgClr>
                  <a:srgbClr val="70AD47"/>
                </a:fgClr>
                <a:bgClr>
                  <a:srgbClr val="E2F0D9">
                    <a:lumMod val="20000"/>
                    <a:lumOff val="80000"/>
                  </a:srgbClr>
                </a:bgClr>
              </a:pattFill>
              <a:ln>
                <a:noFill/>
              </a:ln>
              <a:effectLst>
                <a:innerShdw blurRad="114300">
                  <a:srgbClr val="70AD47"/>
                </a:innerShdw>
              </a:effectLst>
            </c:spPr>
          </c:dPt>
          <c:dPt>
            <c:idx val="6"/>
            <c:invertIfNegative val="0"/>
            <c:bubble3D val="0"/>
            <c:spPr>
              <a:pattFill prst="narVert">
                <a:fgClr>
                  <a:srgbClr val="255E91">
                    <a:lumMod val="60000"/>
                  </a:srgbClr>
                </a:fgClr>
                <a:bgClr>
                  <a:srgbClr val="CBDFF2">
                    <a:lumMod val="60000"/>
                    <a:lumMod val="20000"/>
                    <a:lumOff val="80000"/>
                  </a:srgbClr>
                </a:bgClr>
              </a:pattFill>
              <a:ln>
                <a:noFill/>
              </a:ln>
              <a:effectLst>
                <a:innerShdw blurRad="114300">
                  <a:srgbClr val="255E91">
                    <a:lumMod val="60000"/>
                  </a:srgbClr>
                </a:innerShdw>
              </a:effectLst>
            </c:spPr>
          </c:dPt>
          <c:dPt>
            <c:idx val="7"/>
            <c:invertIfNegative val="0"/>
            <c:bubble3D val="0"/>
            <c:spPr>
              <a:pattFill prst="narVert">
                <a:fgClr>
                  <a:srgbClr val="9E480E">
                    <a:lumMod val="60000"/>
                  </a:srgbClr>
                </a:fgClr>
                <a:bgClr>
                  <a:srgbClr val="FAD8C1">
                    <a:lumMod val="60000"/>
                    <a:lumMod val="20000"/>
                    <a:lumOff val="80000"/>
                  </a:srgbClr>
                </a:bgClr>
              </a:pattFill>
              <a:ln>
                <a:noFill/>
              </a:ln>
              <a:effectLst>
                <a:innerShdw blurRad="114300">
                  <a:srgbClr val="9E480E">
                    <a:lumMod val="60000"/>
                  </a:srgbClr>
                </a:innerShdw>
              </a:effectLst>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rgbClr val="A6A6A6">
                          <a:lumMod val="35000"/>
                          <a:lumOff val="65000"/>
                        </a:srgbClr>
                      </a:solidFill>
                    </a:ln>
                    <a:effectLst/>
                  </c:spPr>
                </c15:leaderLines>
              </c:ext>
            </c:extLst>
          </c:dLbls>
          <c:cat>
            <c:strRef>
              <c:f>'Health &amp; Environment'!$BT$367:$BT$374</c:f>
              <c:strCache>
                <c:ptCount val="8"/>
                <c:pt idx="0">
                  <c:v>Construction of wired fences</c:v>
                </c:pt>
                <c:pt idx="1">
                  <c:v>None</c:v>
                </c:pt>
                <c:pt idx="2">
                  <c:v>Ensuring no shortage of water</c:v>
                </c:pt>
                <c:pt idx="3">
                  <c:v>Construction of toilets</c:v>
                </c:pt>
                <c:pt idx="4">
                  <c:v>Tree planting</c:v>
                </c:pt>
                <c:pt idx="5">
                  <c:v>Cleaning of mosquito breeding sites</c:v>
                </c:pt>
                <c:pt idx="6">
                  <c:v>Educating the public</c:v>
                </c:pt>
                <c:pt idx="7">
                  <c:v>Collection of solid wastes</c:v>
                </c:pt>
              </c:strCache>
            </c:strRef>
          </c:cat>
          <c:val>
            <c:numRef>
              <c:f>'Health &amp; Environment'!$BV$367:$BV$374</c:f>
              <c:numCache>
                <c:formatCode>0.0%</c:formatCode>
                <c:ptCount val="8"/>
                <c:pt idx="0">
                  <c:v>0.0023094688221709</c:v>
                </c:pt>
                <c:pt idx="1">
                  <c:v>0.0046189376443418</c:v>
                </c:pt>
                <c:pt idx="2">
                  <c:v>0.0115473441108545</c:v>
                </c:pt>
                <c:pt idx="3">
                  <c:v>0.092378752886836</c:v>
                </c:pt>
                <c:pt idx="4">
                  <c:v>0.124711316397229</c:v>
                </c:pt>
                <c:pt idx="5">
                  <c:v>0.189376443418014</c:v>
                </c:pt>
                <c:pt idx="6">
                  <c:v>0.23094688221709</c:v>
                </c:pt>
                <c:pt idx="7">
                  <c:v>0.344110854503464</c:v>
                </c:pt>
              </c:numCache>
            </c:numRef>
          </c:val>
        </c:ser>
        <c:dLbls>
          <c:showLegendKey val="0"/>
          <c:showVal val="0"/>
          <c:showCatName val="0"/>
          <c:showSerName val="0"/>
          <c:showPercent val="0"/>
          <c:showBubbleSize val="0"/>
        </c:dLbls>
        <c:gapWidth val="227"/>
        <c:overlap val="-48"/>
        <c:axId val="1194653072"/>
        <c:axId val="1194647632"/>
      </c:barChart>
      <c:catAx>
        <c:axId val="1194653072"/>
        <c:scaling>
          <c:orientation val="minMax"/>
        </c:scaling>
        <c:delete val="0"/>
        <c:axPos val="l"/>
        <c:numFmt formatCode="General" sourceLinked="1"/>
        <c:majorTickMark val="none"/>
        <c:minorTickMark val="none"/>
        <c:tickLblPos val="nextTo"/>
        <c:spPr>
          <a:noFill/>
          <a:ln w="19050" cap="flat" cmpd="sng" algn="ctr">
            <a:solidFill>
              <a:srgbClr val="BFBFBF">
                <a:lumMod val="25000"/>
                <a:lumOff val="75000"/>
              </a:srgbClr>
            </a:solidFill>
            <a:round/>
          </a:ln>
          <a:effectLst/>
        </c:spPr>
        <c:txPr>
          <a:bodyPr rot="-6000000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p>
        </c:txPr>
        <c:crossAx val="1194647632"/>
        <c:crosses val="autoZero"/>
        <c:auto val="1"/>
        <c:lblAlgn val="ctr"/>
        <c:lblOffset val="100"/>
        <c:noMultiLvlLbl val="0"/>
      </c:catAx>
      <c:valAx>
        <c:axId val="1194647632"/>
        <c:scaling>
          <c:orientation val="minMax"/>
        </c:scaling>
        <c:delete val="0"/>
        <c:axPos val="b"/>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p>
        </c:txPr>
        <c:crossAx val="1194653072"/>
        <c:crosses val="autoZero"/>
        <c:crossBetween val="between"/>
      </c:valAx>
      <c:spPr>
        <a:noFill/>
        <a:ln>
          <a:noFill/>
        </a:ln>
        <a:effectLst/>
      </c:spPr>
    </c:plotArea>
    <c:plotVisOnly val="1"/>
    <c:dispBlanksAs val="zero"/>
    <c:showDLblsOverMax val="0"/>
    <c:extLst>
      <c:ext uri="{0b15fc19-7d7d-44ad-8c2d-2c3a37ce22c3}">
        <chartProps xmlns="https://web.wps.cn/et/2018/main" chartId="{8bd9942e-bd7b-4f36-ae5d-966431d04dad}"/>
      </c:ext>
    </c:extLst>
  </c:chart>
  <c:spPr>
    <a:solidFill>
      <a:srgbClr val="FFFFFF"/>
    </a:solidFill>
    <a:ln w="9525" cap="flat" cmpd="sng" algn="ctr">
      <a:solidFill>
        <a:srgbClr val="D9D9D9">
          <a:lumMod val="15000"/>
          <a:lumOff val="85000"/>
        </a:srgbClr>
      </a:solidFill>
      <a:round/>
    </a:ln>
    <a:effectLst/>
  </c:spPr>
  <c:txPr>
    <a:bodyPr/>
    <a:lstStyle/>
    <a:p>
      <a:pPr>
        <a:defRPr lang="en-US"/>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rgbClr val="595959">
                    <a:lumMod val="65000"/>
                    <a:lumOff val="35000"/>
                  </a:srgbClr>
                </a:solidFill>
                <a:latin typeface="+mn-lt"/>
                <a:ea typeface="+mn-ea"/>
                <a:cs typeface="+mn-cs"/>
              </a:defRPr>
            </a:pPr>
            <a:r>
              <a:rPr lang="en-US"/>
              <a:t>Those Involved in Conserving the Environment</a:t>
            </a:r>
            <a:endParaRPr lang="en-US"/>
          </a:p>
        </c:rich>
      </c:tx>
      <c:layout/>
      <c:overlay val="0"/>
      <c:spPr>
        <a:noFill/>
        <a:ln>
          <a:noFill/>
        </a:ln>
        <a:effectLst/>
      </c:spPr>
    </c:title>
    <c:autoTitleDeleted val="0"/>
    <c:plotArea>
      <c:layout/>
      <c:barChart>
        <c:barDir val="bar"/>
        <c:grouping val="clustered"/>
        <c:varyColors val="1"/>
        <c:ser>
          <c:idx val="0"/>
          <c:order val="0"/>
          <c:spPr/>
          <c:invertIfNegative val="0"/>
          <c:dPt>
            <c:idx val="0"/>
            <c:invertIfNegative val="0"/>
            <c:bubble3D val="0"/>
            <c:spPr>
              <a:solidFill>
                <a:srgbClr val="5B9BD5"/>
              </a:solidFill>
              <a:ln>
                <a:noFill/>
              </a:ln>
              <a:effectLst/>
            </c:spPr>
          </c:dPt>
          <c:dPt>
            <c:idx val="1"/>
            <c:invertIfNegative val="0"/>
            <c:bubble3D val="0"/>
            <c:spPr>
              <a:solidFill>
                <a:srgbClr val="ED7D31"/>
              </a:solidFill>
              <a:ln>
                <a:noFill/>
              </a:ln>
              <a:effectLst/>
            </c:spPr>
          </c:dPt>
          <c:dPt>
            <c:idx val="2"/>
            <c:invertIfNegative val="0"/>
            <c:bubble3D val="0"/>
            <c:spPr>
              <a:solidFill>
                <a:srgbClr val="A5A5A5"/>
              </a:solidFill>
              <a:ln>
                <a:noFill/>
              </a:ln>
              <a:effectLst/>
            </c:spPr>
          </c:dPt>
          <c:dPt>
            <c:idx val="3"/>
            <c:invertIfNegative val="0"/>
            <c:bubble3D val="0"/>
            <c:spPr>
              <a:solidFill>
                <a:srgbClr val="FFC000"/>
              </a:solidFill>
              <a:ln>
                <a:noFill/>
              </a:ln>
              <a:effectLst/>
            </c:spPr>
          </c:dPt>
          <c:dPt>
            <c:idx val="4"/>
            <c:invertIfNegative val="0"/>
            <c:bubble3D val="0"/>
            <c:spPr>
              <a:solidFill>
                <a:srgbClr val="4472C4"/>
              </a:solidFill>
              <a:ln>
                <a:noFill/>
              </a:ln>
              <a:effectLst/>
            </c:spPr>
          </c:dPt>
          <c:dPt>
            <c:idx val="5"/>
            <c:invertIfNegative val="0"/>
            <c:bubble3D val="0"/>
            <c:spPr>
              <a:solidFill>
                <a:srgbClr val="70AD47"/>
              </a:solidFill>
              <a:ln>
                <a:noFill/>
              </a:ln>
              <a:effectLst/>
            </c:spPr>
          </c:dPt>
          <c:dPt>
            <c:idx val="6"/>
            <c:invertIfNegative val="0"/>
            <c:bubble3D val="0"/>
            <c:spPr>
              <a:solidFill>
                <a:srgbClr val="255E91">
                  <a:lumMod val="60000"/>
                </a:srgbClr>
              </a:solidFill>
              <a:ln>
                <a:noFill/>
              </a:ln>
              <a:effectLst/>
            </c:spPr>
          </c:dPt>
          <c:dPt>
            <c:idx val="7"/>
            <c:invertIfNegative val="0"/>
            <c:bubble3D val="0"/>
            <c:spPr>
              <a:solidFill>
                <a:srgbClr val="9E480E">
                  <a:lumMod val="60000"/>
                </a:srgbClr>
              </a:solidFill>
              <a:ln>
                <a:noFill/>
              </a:ln>
              <a:effectLst/>
            </c:spPr>
          </c:dPt>
          <c:dPt>
            <c:idx val="8"/>
            <c:invertIfNegative val="0"/>
            <c:bubble3D val="0"/>
            <c:spPr>
              <a:solidFill>
                <a:srgbClr val="636363">
                  <a:lumMod val="60000"/>
                </a:srgb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rgbClr val="A6A6A6">
                          <a:lumMod val="35000"/>
                          <a:lumOff val="65000"/>
                        </a:srgbClr>
                      </a:solidFill>
                      <a:round/>
                    </a:ln>
                    <a:effectLst/>
                  </c:spPr>
                </c15:leaderLines>
              </c:ext>
            </c:extLst>
          </c:dLbls>
          <c:cat>
            <c:strRef>
              <c:f>'Health &amp; Environment'!$BZ$366:$BZ$374</c:f>
              <c:strCache>
                <c:ptCount val="9"/>
                <c:pt idx="0">
                  <c:v>County government</c:v>
                </c:pt>
                <c:pt idx="1">
                  <c:v>Youth groups</c:v>
                </c:pt>
                <c:pt idx="2">
                  <c:v>Community Based Organizations</c:v>
                </c:pt>
                <c:pt idx="3">
                  <c:v>Individuals</c:v>
                </c:pt>
                <c:pt idx="4">
                  <c:v>Non Governmental Organizations</c:v>
                </c:pt>
                <c:pt idx="5">
                  <c:v>Women groups</c:v>
                </c:pt>
                <c:pt idx="6">
                  <c:v>Head of the family</c:v>
                </c:pt>
                <c:pt idx="7">
                  <c:v>Villagers</c:v>
                </c:pt>
                <c:pt idx="8">
                  <c:v>Scouts</c:v>
                </c:pt>
              </c:strCache>
            </c:strRef>
          </c:cat>
          <c:val>
            <c:numRef>
              <c:f>'Health &amp; Environment'!$CB$366:$CB$374</c:f>
              <c:numCache>
                <c:formatCode>0.0%</c:formatCode>
                <c:ptCount val="9"/>
                <c:pt idx="0">
                  <c:v>0.338983050847458</c:v>
                </c:pt>
                <c:pt idx="1">
                  <c:v>0.206214689265537</c:v>
                </c:pt>
                <c:pt idx="2">
                  <c:v>0.194915254237288</c:v>
                </c:pt>
                <c:pt idx="3">
                  <c:v>0.0903954802259887</c:v>
                </c:pt>
                <c:pt idx="4">
                  <c:v>0.076271186440678</c:v>
                </c:pt>
                <c:pt idx="5">
                  <c:v>0.0480225988700565</c:v>
                </c:pt>
                <c:pt idx="6">
                  <c:v>0.0225988700564972</c:v>
                </c:pt>
                <c:pt idx="7">
                  <c:v>0.019774011299435</c:v>
                </c:pt>
                <c:pt idx="8">
                  <c:v>0.00282485875706215</c:v>
                </c:pt>
              </c:numCache>
            </c:numRef>
          </c:val>
        </c:ser>
        <c:dLbls>
          <c:showLegendKey val="0"/>
          <c:showVal val="1"/>
          <c:showCatName val="0"/>
          <c:showSerName val="0"/>
          <c:showPercent val="0"/>
          <c:showBubbleSize val="0"/>
        </c:dLbls>
        <c:gapWidth val="182"/>
        <c:axId val="1194653616"/>
        <c:axId val="1194660144"/>
      </c:barChart>
      <c:catAx>
        <c:axId val="1194653616"/>
        <c:scaling>
          <c:orientation val="minMax"/>
        </c:scaling>
        <c:delete val="0"/>
        <c:axPos val="l"/>
        <c:numFmt formatCode="General" sourceLinked="1"/>
        <c:majorTickMark val="none"/>
        <c:minorTickMark val="none"/>
        <c:tickLblPos val="nextTo"/>
        <c:spPr>
          <a:noFill/>
          <a:ln w="9525" cap="flat" cmpd="sng" algn="ctr">
            <a:solidFill>
              <a:srgbClr val="D9D9D9">
                <a:lumMod val="15000"/>
                <a:lumOff val="85000"/>
              </a:srgbClr>
            </a:solidFill>
            <a:round/>
          </a:ln>
          <a:effectLst/>
        </c:spPr>
        <c:txPr>
          <a:bodyPr rot="-6000000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p>
        </c:txPr>
        <c:crossAx val="1194660144"/>
        <c:crosses val="autoZero"/>
        <c:auto val="1"/>
        <c:lblAlgn val="ctr"/>
        <c:lblOffset val="100"/>
        <c:noMultiLvlLbl val="0"/>
      </c:catAx>
      <c:valAx>
        <c:axId val="1194660144"/>
        <c:scaling>
          <c:orientation val="minMax"/>
        </c:scaling>
        <c:delete val="0"/>
        <c:axPos val="b"/>
        <c:majorGridlines>
          <c:spPr>
            <a:ln w="9525" cap="flat" cmpd="sng" algn="ctr">
              <a:solidFill>
                <a:srgbClr val="D9D9D9">
                  <a:lumMod val="15000"/>
                  <a:lumOff val="85000"/>
                </a:srgbClr>
              </a:solid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p>
        </c:txPr>
        <c:crossAx val="1194653616"/>
        <c:crosses val="autoZero"/>
        <c:crossBetween val="between"/>
      </c:valAx>
      <c:spPr>
        <a:noFill/>
        <a:ln>
          <a:noFill/>
        </a:ln>
        <a:effectLst/>
      </c:spPr>
    </c:plotArea>
    <c:plotVisOnly val="1"/>
    <c:dispBlanksAs val="gap"/>
    <c:showDLblsOverMax val="0"/>
    <c:extLst>
      <c:ext uri="{0b15fc19-7d7d-44ad-8c2d-2c3a37ce22c3}">
        <chartProps xmlns="https://web.wps.cn/et/2018/main" chartId="{d98daf17-89a6-4db6-8991-480c8fa37cb2}"/>
      </c:ext>
    </c:extLst>
  </c:chart>
  <c:spPr>
    <a:solidFill>
      <a:srgbClr val="FFFFFF"/>
    </a:solidFill>
    <a:ln w="9525" cap="flat" cmpd="sng" algn="ctr">
      <a:solidFill>
        <a:srgbClr val="D9D9D9">
          <a:lumMod val="15000"/>
          <a:lumOff val="85000"/>
        </a:srgbClr>
      </a:solidFill>
      <a:round/>
    </a:ln>
    <a:effectLst/>
  </c:spPr>
  <c:txPr>
    <a:bodyPr/>
    <a:lstStyle/>
    <a:p>
      <a:pPr>
        <a:defRPr lang="en-US"/>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rot="0" spcFirstLastPara="0"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Proposed Work Help in Environmental Conservation</a:t>
            </a:r>
            <a:endParaRPr lang="en-US" sz="1100" i="1"/>
          </a:p>
        </c:rich>
      </c:tx>
      <c:layout>
        <c:manualLayout>
          <c:xMode val="edge"/>
          <c:yMode val="edge"/>
          <c:x val="0.153067053059046"/>
          <c:y val="0.00661703887510339"/>
        </c:manualLayout>
      </c:layout>
      <c:overlay val="0"/>
    </c:title>
    <c:autoTitleDeleted val="0"/>
    <c:plotArea>
      <c:layout>
        <c:manualLayout>
          <c:layoutTarget val="inner"/>
          <c:xMode val="edge"/>
          <c:yMode val="edge"/>
          <c:x val="0.212374332553455"/>
          <c:y val="0.120743538795948"/>
          <c:w val="0.786097754729812"/>
          <c:h val="0.805603902489857"/>
        </c:manualLayout>
      </c:layout>
      <c:pieChart>
        <c:varyColors val="1"/>
        <c:ser>
          <c:idx val="0"/>
          <c:order val="0"/>
          <c:explosion val="25"/>
          <c:dPt>
            <c:idx val="0"/>
            <c:bubble3D val="0"/>
            <c:explosion val="0"/>
          </c:dPt>
          <c:dPt>
            <c:idx val="1"/>
            <c:bubble3D val="0"/>
            <c:explosion val="2"/>
          </c:dPt>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ctr"/>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'Health &amp; Environment'!$CE$368:$CE$369</c:f>
              <c:strCache>
                <c:ptCount val="2"/>
                <c:pt idx="0">
                  <c:v>Yes</c:v>
                </c:pt>
                <c:pt idx="1">
                  <c:v>No</c:v>
                </c:pt>
              </c:strCache>
            </c:strRef>
          </c:cat>
          <c:val>
            <c:numRef>
              <c:f>'Health &amp; Environment'!$CG$368:$CG$369</c:f>
              <c:numCache>
                <c:formatCode>0%</c:formatCode>
                <c:ptCount val="2"/>
                <c:pt idx="0">
                  <c:v>0.873925501432665</c:v>
                </c:pt>
                <c:pt idx="1">
                  <c:v>0.126074498567335</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extLst>
      <c:ext uri="{0b15fc19-7d7d-44ad-8c2d-2c3a37ce22c3}">
        <chartProps xmlns="https://web.wps.cn/et/2018/main" chartId="{23b3e896-6d65-4f32-8d00-11018d8d7eed}"/>
      </c:ext>
    </c:extLst>
  </c:chart>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Sheet3!$B$1</c:f>
              <c:strCache>
                <c:ptCount val="1"/>
                <c:pt idx="0">
                  <c:v>percentages </c:v>
                </c:pt>
              </c:strCache>
            </c:strRef>
          </c:tx>
          <c:explosion val="0"/>
          <c:dPt>
            <c:idx val="0"/>
            <c:bubble3D val="0"/>
            <c:spPr>
              <a:solidFill>
                <a:srgbClr val="F1A78A">
                  <a:tint val="77000"/>
                </a:srgbClr>
              </a:solidFill>
              <a:ln>
                <a:noFill/>
              </a:ln>
              <a:effectLst>
                <a:outerShdw blurRad="254000" sx="102000" sy="102000" algn="ctr" rotWithShape="0">
                  <a:prstClr val="black">
                    <a:alpha val="20000"/>
                  </a:prstClr>
                </a:outerShdw>
              </a:effectLst>
              <a:scene3d>
                <a:camera prst="orthographicFront"/>
                <a:lightRig rig="threePt" dir="t"/>
              </a:scene3d>
              <a:sp3d/>
            </c:spPr>
          </c:dPt>
          <c:dPt>
            <c:idx val="1"/>
            <c:bubble3D val="0"/>
            <c:spPr>
              <a:solidFill>
                <a:srgbClr val="D26E2A">
                  <a:shade val="76000"/>
                </a:srgbClr>
              </a:solidFill>
              <a:ln>
                <a:noFill/>
              </a:ln>
              <a:effectLst>
                <a:outerShdw blurRad="254000" sx="102000" sy="102000" algn="ctr" rotWithShape="0">
                  <a:prstClr val="black">
                    <a:alpha val="20000"/>
                  </a:prstClr>
                </a:outerShdw>
              </a:effectLst>
              <a:scene3d>
                <a:camera prst="orthographicFront"/>
                <a:lightRig rig="threePt" dir="t"/>
              </a:scene3d>
              <a:sp3d/>
            </c:spPr>
          </c:dPt>
          <c:dLbls>
            <c:spPr>
              <a:pattFill prst="pct75">
                <a:fgClr>
                  <a:srgbClr val="404040">
                    <a:lumMod val="75000"/>
                    <a:lumOff val="25000"/>
                  </a:srgbClr>
                </a:fgClr>
                <a:bgClr>
                  <a:srgbClr val="595959">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rgbClr val="FFFFFF"/>
                    </a:solidFill>
                    <a:latin typeface="+mn-lt"/>
                    <a:ea typeface="+mn-ea"/>
                    <a:cs typeface="+mn-cs"/>
                  </a:defRPr>
                </a:pPr>
              </a:p>
            </c:txPr>
            <c:dLblPos val="ctr"/>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rgbClr val="808080">
                          <a:lumMod val="50000"/>
                          <a:lumOff val="50000"/>
                        </a:srgbClr>
                      </a:solidFill>
                      <a:prstDash val="solid"/>
                      <a:round/>
                    </a:ln>
                    <a:effectLst/>
                  </c:spPr>
                </c15:leaderLines>
              </c:ext>
            </c:extLst>
          </c:dLbls>
          <c:cat>
            <c:strRef>
              <c:f>Sheet3!$A$2:$A$3</c:f>
              <c:strCache>
                <c:ptCount val="2"/>
                <c:pt idx="0">
                  <c:v>aware</c:v>
                </c:pt>
                <c:pt idx="1">
                  <c:v>not aware</c:v>
                </c:pt>
              </c:strCache>
            </c:strRef>
          </c:cat>
          <c:val>
            <c:numRef>
              <c:f>Sheet3!$B$2:$B$3</c:f>
              <c:numCache>
                <c:formatCode>0%</c:formatCode>
                <c:ptCount val="2"/>
                <c:pt idx="0">
                  <c:v>0.73</c:v>
                </c:pt>
                <c:pt idx="1">
                  <c:v>0.21</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r"/>
      <c:layout/>
      <c:overlay val="0"/>
      <c:spPr>
        <a:solidFill>
          <a:srgbClr val="F2F2F2">
            <a:lumMod val="95000"/>
            <a:alpha val="39000"/>
          </a:srgbClr>
        </a:solidFill>
        <a:ln>
          <a:noFill/>
        </a:ln>
        <a:effectLst/>
      </c:spPr>
      <c:txPr>
        <a:bodyPr rot="0" spcFirstLastPara="1" vertOverflow="ellipsis" vert="horz" wrap="square" anchor="ctr" anchorCtr="1"/>
        <a:lstStyle/>
        <a:p>
          <a:pPr>
            <a:defRPr lang="en-US" sz="900" b="0" i="0" u="none" strike="noStrike" kern="1200" baseline="0">
              <a:solidFill>
                <a:srgbClr val="404040">
                  <a:lumMod val="75000"/>
                  <a:lumOff val="25000"/>
                </a:srgbClr>
              </a:solidFill>
              <a:latin typeface="+mn-lt"/>
              <a:ea typeface="+mn-ea"/>
              <a:cs typeface="+mn-cs"/>
            </a:defRPr>
          </a:pPr>
        </a:p>
      </c:txPr>
    </c:legend>
    <c:plotVisOnly val="1"/>
    <c:dispBlanksAs val="gap"/>
    <c:showDLblsOverMax val="0"/>
    <c:extLst>
      <c:ext uri="{0b15fc19-7d7d-44ad-8c2d-2c3a37ce22c3}">
        <chartProps xmlns="https://web.wps.cn/et/2018/main" chartId="{3c455645-f602-4cae-93b0-2b0022caeaa2}"/>
      </c:ext>
    </c:extLst>
  </c:chart>
  <c:spPr>
    <a:gradFill flip="none" rotWithShape="1">
      <a:gsLst>
        <a:gs pos="0">
          <a:srgbClr val="FFFFFF"/>
        </a:gs>
        <a:gs pos="39000">
          <a:srgbClr val="FFFFFF"/>
        </a:gs>
        <a:gs pos="100000">
          <a:srgbClr val="BFBFBF">
            <a:lumMod val="75000"/>
          </a:srgbClr>
        </a:gs>
      </a:gsLst>
      <a:path path="circle">
        <a:fillToRect l="50000" t="-80000" r="50000" b="180000"/>
      </a:path>
      <a:tileRect/>
    </a:gradFill>
    <a:ln w="9525" cap="flat" cmpd="sng" algn="ctr">
      <a:solidFill>
        <a:srgbClr val="BFBFBF">
          <a:lumMod val="25000"/>
          <a:lumOff val="75000"/>
        </a:srgbClr>
      </a:solid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Household Literacy Level</a:t>
            </a:r>
            <a:endParaRPr lang="en-US" sz="1100" i="1"/>
          </a:p>
        </c:rich>
      </c:tx>
      <c:layout>
        <c:manualLayout>
          <c:xMode val="edge"/>
          <c:yMode val="edge"/>
          <c:x val="0.316185188191683"/>
          <c:y val="0.0403023144834169"/>
        </c:manualLayout>
      </c:layout>
      <c:overlay val="0"/>
    </c:title>
    <c:autoTitleDeleted val="0"/>
    <c:plotArea>
      <c:layout>
        <c:manualLayout>
          <c:layoutTarget val="inner"/>
          <c:xMode val="edge"/>
          <c:yMode val="edge"/>
          <c:x val="0.0956867711123739"/>
          <c:y val="0.110065139584825"/>
          <c:w val="0.800088373568691"/>
          <c:h val="0.875096658590756"/>
        </c:manualLayout>
      </c:layout>
      <c:pieChart>
        <c:varyColors val="1"/>
        <c:ser>
          <c:idx val="0"/>
          <c:order val="0"/>
          <c:explosion val="25"/>
          <c:dPt>
            <c:idx val="0"/>
            <c:bubble3D val="0"/>
            <c:explosion val="1"/>
          </c:dPt>
          <c:dPt>
            <c:idx val="1"/>
            <c:bubble3D val="0"/>
            <c:explosion val="2"/>
          </c:dPt>
          <c:dPt>
            <c:idx val="2"/>
            <c:bubble3D val="0"/>
            <c:explosion val="2"/>
          </c:dPt>
          <c:dPt>
            <c:idx val="3"/>
            <c:bubble3D val="0"/>
            <c:explosion val="3"/>
          </c:dPt>
          <c:dLbls>
            <c:dLbl>
              <c:idx val="0"/>
              <c:layout>
                <c:manualLayout>
                  <c:x val="-0.130328111047975"/>
                  <c:y val="0.15676521116678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98929783261628"/>
                  <c:y val="-0.076222619899785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62496173883957"/>
                  <c:y val="-0.14274283826396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52279734049435"/>
                  <c:y val="0.15758519747614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'HH Data'!$X$367:$AA$367</c:f>
              <c:strCache>
                <c:ptCount val="4"/>
                <c:pt idx="0">
                  <c:v>No Education</c:v>
                </c:pt>
                <c:pt idx="1">
                  <c:v>Primary</c:v>
                </c:pt>
                <c:pt idx="2">
                  <c:v>Secondary</c:v>
                </c:pt>
                <c:pt idx="3">
                  <c:v>College/ university</c:v>
                </c:pt>
              </c:strCache>
            </c:strRef>
          </c:cat>
          <c:val>
            <c:numRef>
              <c:f>'HH Data'!$X$369:$AA$369</c:f>
              <c:numCache>
                <c:formatCode>0%</c:formatCode>
                <c:ptCount val="4"/>
                <c:pt idx="0">
                  <c:v>0.168580375782881</c:v>
                </c:pt>
                <c:pt idx="1">
                  <c:v>0.435281837160752</c:v>
                </c:pt>
                <c:pt idx="2">
                  <c:v>0.244258872651357</c:v>
                </c:pt>
                <c:pt idx="3">
                  <c:v>0.15187891440501</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extLst>
      <c:ext uri="{0b15fc19-7d7d-44ad-8c2d-2c3a37ce22c3}">
        <chartProps xmlns="https://web.wps.cn/et/2018/main" chartId="{27ba3dfb-8bb0-424b-aeb4-7b5160c813eb}"/>
      </c:ext>
    </c:extLst>
  </c:chart>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Effects on Proposed Works</a:t>
            </a:r>
            <a:endParaRPr lang="en-US" sz="1100" i="1"/>
          </a:p>
        </c:rich>
      </c:tx>
      <c:layout/>
      <c:overlay val="0"/>
      <c:spPr>
        <a:noFill/>
        <a:ln>
          <a:noFill/>
        </a:ln>
        <a:effectLst/>
      </c:spPr>
    </c:title>
    <c:autoTitleDeleted val="0"/>
    <c:plotArea>
      <c:layout>
        <c:manualLayout>
          <c:layoutTarget val="inner"/>
          <c:xMode val="edge"/>
          <c:yMode val="edge"/>
          <c:x val="0.14656058617673"/>
          <c:y val="0.10665600673617"/>
          <c:w val="0.690212160979877"/>
          <c:h val="0.838738605604553"/>
        </c:manualLayout>
      </c:layout>
      <c:pieChart>
        <c:varyColors val="1"/>
        <c:ser>
          <c:idx val="0"/>
          <c:order val="0"/>
          <c:spPr/>
          <c:explosion val="25"/>
          <c:dPt>
            <c:idx val="0"/>
            <c:bubble3D val="0"/>
            <c:explosion val="0"/>
            <c:spPr>
              <a:gradFill rotWithShape="1">
                <a:gsLst>
                  <a:gs pos="0">
                    <a:srgbClr val="4F8B27">
                      <a:shade val="51000"/>
                      <a:satMod val="130000"/>
                    </a:srgbClr>
                  </a:gs>
                  <a:gs pos="80000">
                    <a:srgbClr val="69B636">
                      <a:shade val="93000"/>
                      <a:satMod val="130000"/>
                    </a:srgbClr>
                  </a:gs>
                  <a:gs pos="100000">
                    <a:srgbClr val="69BA33">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explosion val="0"/>
            <c:spPr>
              <a:gradFill rotWithShape="1">
                <a:gsLst>
                  <a:gs pos="0">
                    <a:srgbClr val="214F9F">
                      <a:shade val="51000"/>
                      <a:satMod val="130000"/>
                    </a:srgbClr>
                  </a:gs>
                  <a:gs pos="80000">
                    <a:srgbClr val="2F69D0">
                      <a:shade val="93000"/>
                      <a:satMod val="130000"/>
                    </a:srgbClr>
                  </a:gs>
                  <a:gs pos="100000">
                    <a:srgbClr val="2C69D4">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0125675603723768"/>
                  <c:y val="-0.269287115004254"/>
                </c:manualLayout>
              </c:layout>
              <c:numFmt formatCode="General" sourceLinked="1"/>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numFmt formatCode="General" sourceLinked="1"/>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rgbClr val="000000">
                          <a:shade val="95000"/>
                          <a:satMod val="105000"/>
                        </a:srgbClr>
                      </a:solidFill>
                      <a:prstDash val="solid"/>
                      <a:round/>
                    </a:ln>
                    <a:effectLst/>
                  </c:spPr>
                </c15:leaderLines>
              </c:ext>
            </c:extLst>
          </c:dLbls>
          <c:cat>
            <c:strRef>
              <c:f>'Water &amp; Sanitation'!$BG$366:$BG$367</c:f>
              <c:strCache>
                <c:ptCount val="2"/>
                <c:pt idx="0">
                  <c:v>Positively</c:v>
                </c:pt>
                <c:pt idx="1">
                  <c:v>Adversely</c:v>
                </c:pt>
              </c:strCache>
            </c:strRef>
          </c:cat>
          <c:val>
            <c:numRef>
              <c:f>'Water &amp; Sanitation'!$BI$366:$BI$367</c:f>
              <c:numCache>
                <c:formatCode>0%</c:formatCode>
                <c:ptCount val="2"/>
                <c:pt idx="0">
                  <c:v>0.954154727793696</c:v>
                </c:pt>
                <c:pt idx="1">
                  <c:v>0.0458452722063037</c:v>
                </c:pt>
              </c:numCache>
            </c:numRef>
          </c:val>
        </c:ser>
        <c:dLbls>
          <c:showLegendKey val="0"/>
          <c:showVal val="0"/>
          <c:showCatName val="1"/>
          <c:showSerName val="0"/>
          <c:showPercent val="1"/>
          <c:showBubbleSize val="0"/>
          <c:showLeaderLines val="1"/>
        </c:dLbls>
        <c:firstSliceAng val="0"/>
      </c:pieChart>
      <c:spPr>
        <a:noFill/>
        <a:ln w="25400">
          <a:noFill/>
        </a:ln>
        <a:effectLst/>
      </c:spPr>
    </c:plotArea>
    <c:plotVisOnly val="1"/>
    <c:dispBlanksAs val="zero"/>
    <c:showDLblsOverMax val="0"/>
    <c:extLst>
      <c:ext uri="{0b15fc19-7d7d-44ad-8c2d-2c3a37ce22c3}">
        <chartProps xmlns="https://web.wps.cn/et/2018/main" chartId="{cde9afb4-9c7a-4ece-a8a3-979a5a90f0d6}"/>
      </c:ext>
    </c:extLst>
  </c:chart>
  <c:spPr>
    <a:solidFill>
      <a:srgbClr val="FFFFFF"/>
    </a:solidFill>
    <a:ln w="9525" cap="flat" cmpd="sng" algn="ctr">
      <a:solidFill>
        <a:srgbClr val="868686">
          <a:tint val="75000"/>
          <a:shade val="95000"/>
          <a:satMod val="105000"/>
        </a:srgbClr>
      </a:solidFill>
      <a:prstDash val="solid"/>
      <a:round/>
    </a:ln>
    <a:effectLst/>
  </c:spPr>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en-US" sz="1800" b="1" i="0" u="none" strike="noStrike" kern="1200" baseline="0">
              <a:solidFill>
                <a:srgbClr val="404040">
                  <a:lumMod val="75000"/>
                  <a:lumOff val="25000"/>
                </a:srgbClr>
              </a:solidFill>
              <a:latin typeface="+mn-lt"/>
              <a:ea typeface="+mn-ea"/>
              <a:cs typeface="+mn-cs"/>
            </a:defRPr>
          </a:pPr>
        </a:p>
      </c:txPr>
    </c:title>
    <c:autoTitleDeleted val="0"/>
    <c:plotArea>
      <c:layout/>
      <c:pieChart>
        <c:varyColors val="1"/>
        <c:ser>
          <c:idx val="0"/>
          <c:order val="0"/>
          <c:tx>
            <c:strRef>
              <c:f>Sheet4!$B$1</c:f>
              <c:strCache>
                <c:ptCount val="1"/>
                <c:pt idx="0">
                  <c:v>Percentage</c:v>
                </c:pt>
              </c:strCache>
            </c:strRef>
          </c:tx>
          <c:explosion val="0"/>
          <c:dPt>
            <c:idx val="0"/>
            <c:bubble3D val="0"/>
            <c:spPr>
              <a:solidFill>
                <a:srgbClr val="ED7D31"/>
              </a:solidFill>
              <a:ln>
                <a:noFill/>
              </a:ln>
              <a:effectLst>
                <a:outerShdw blurRad="254000" sx="102000" sy="102000" algn="ctr" rotWithShape="0">
                  <a:prstClr val="black">
                    <a:alpha val="20000"/>
                  </a:prstClr>
                </a:outerShdw>
              </a:effectLst>
              <a:scene3d>
                <a:camera prst="orthographicFront"/>
                <a:lightRig rig="threePt" dir="t"/>
              </a:scene3d>
              <a:sp3d/>
            </c:spPr>
          </c:dPt>
          <c:dPt>
            <c:idx val="1"/>
            <c:bubble3D val="0"/>
            <c:spPr>
              <a:solidFill>
                <a:srgbClr val="FFC000"/>
              </a:solidFill>
              <a:ln>
                <a:noFill/>
              </a:ln>
              <a:effectLst>
                <a:outerShdw blurRad="254000" sx="102000" sy="102000" algn="ctr" rotWithShape="0">
                  <a:prstClr val="black">
                    <a:alpha val="20000"/>
                  </a:prstClr>
                </a:outerShdw>
              </a:effectLst>
              <a:scene3d>
                <a:camera prst="orthographicFront"/>
                <a:lightRig rig="threePt" dir="t"/>
              </a:scene3d>
              <a:sp3d/>
            </c:spPr>
          </c:dPt>
          <c:dLbls>
            <c:spPr>
              <a:pattFill prst="pct75">
                <a:fgClr>
                  <a:srgbClr val="404040">
                    <a:lumMod val="75000"/>
                    <a:lumOff val="25000"/>
                  </a:srgbClr>
                </a:fgClr>
                <a:bgClr>
                  <a:srgbClr val="595959">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rgbClr val="FFFFFF"/>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808080">
                          <a:lumMod val="50000"/>
                          <a:lumOff val="50000"/>
                        </a:srgbClr>
                      </a:solidFill>
                      <a:prstDash val="solid"/>
                      <a:round/>
                    </a:ln>
                    <a:effectLst/>
                  </c:spPr>
                </c15:leaderLines>
              </c:ext>
            </c:extLst>
          </c:dLbls>
          <c:cat>
            <c:strRef>
              <c:f>Sheet4!$A$2:$A$3</c:f>
              <c:strCache>
                <c:ptCount val="2"/>
                <c:pt idx="0">
                  <c:v>Hygiene, Sanitation, &amp; Disease Reduction</c:v>
                </c:pt>
                <c:pt idx="1">
                  <c:v>Business, Land Value, &amp; Employment</c:v>
                </c:pt>
              </c:strCache>
            </c:strRef>
          </c:cat>
          <c:val>
            <c:numRef>
              <c:f>Sheet4!$B$2:$B$3</c:f>
              <c:numCache>
                <c:formatCode>0%</c:formatCode>
                <c:ptCount val="2"/>
                <c:pt idx="0">
                  <c:v>0.71</c:v>
                </c:pt>
                <c:pt idx="1">
                  <c:v>0.29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rgbClr val="F2F2F2">
            <a:lumMod val="95000"/>
            <a:alpha val="39000"/>
          </a:srgbClr>
        </a:solidFill>
        <a:ln>
          <a:noFill/>
        </a:ln>
        <a:effectLst/>
      </c:spPr>
      <c:txPr>
        <a:bodyPr rot="0" spcFirstLastPara="1" vertOverflow="ellipsis" vert="horz" wrap="square" anchor="ctr" anchorCtr="1"/>
        <a:lstStyle/>
        <a:p>
          <a:pPr>
            <a:defRPr lang="en-US" sz="900" b="0" i="0" u="none" strike="noStrike" kern="1200" baseline="0">
              <a:solidFill>
                <a:srgbClr val="404040">
                  <a:lumMod val="75000"/>
                  <a:lumOff val="25000"/>
                </a:srgbClr>
              </a:solidFill>
              <a:latin typeface="+mn-lt"/>
              <a:ea typeface="+mn-ea"/>
              <a:cs typeface="+mn-cs"/>
            </a:defRPr>
          </a:pPr>
        </a:p>
      </c:txPr>
    </c:legend>
    <c:plotVisOnly val="1"/>
    <c:dispBlanksAs val="gap"/>
    <c:showDLblsOverMax val="0"/>
    <c:extLst>
      <c:ext uri="{0b15fc19-7d7d-44ad-8c2d-2c3a37ce22c3}">
        <chartProps xmlns="https://web.wps.cn/et/2018/main" chartId="{214a1cbe-66e9-469c-aa2f-d8f3cc81d494}"/>
      </c:ext>
    </c:extLst>
  </c:chart>
  <c:spPr>
    <a:gradFill flip="none" rotWithShape="1">
      <a:gsLst>
        <a:gs pos="0">
          <a:srgbClr val="FFFFFF"/>
        </a:gs>
        <a:gs pos="39000">
          <a:srgbClr val="FFFFFF"/>
        </a:gs>
        <a:gs pos="100000">
          <a:srgbClr val="BFBFBF">
            <a:lumMod val="75000"/>
          </a:srgbClr>
        </a:gs>
      </a:gsLst>
      <a:path path="circle">
        <a:fillToRect l="50000" t="-80000" r="50000" b="180000"/>
      </a:path>
      <a:tileRect/>
    </a:gradFill>
    <a:ln w="9525" cap="flat" cmpd="sng" algn="ctr">
      <a:solidFill>
        <a:srgbClr val="BFBFBF">
          <a:lumMod val="25000"/>
          <a:lumOff val="75000"/>
        </a:srgbClr>
      </a:solidFill>
      <a:prstDash val="solid"/>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Religion</a:t>
            </a:r>
            <a:endParaRPr lang="en-US" sz="1100" i="1"/>
          </a:p>
        </c:rich>
      </c:tx>
      <c:layout/>
      <c:overlay val="0"/>
    </c:title>
    <c:autoTitleDeleted val="0"/>
    <c:plotArea>
      <c:layout>
        <c:manualLayout>
          <c:layoutTarget val="inner"/>
          <c:xMode val="edge"/>
          <c:yMode val="edge"/>
          <c:x val="0.173406134452172"/>
          <c:y val="0.189017711368756"/>
          <c:w val="0.666164463817023"/>
          <c:h val="0.736893036518603"/>
        </c:manualLayout>
      </c:layout>
      <c:pieChart>
        <c:varyColors val="1"/>
        <c:ser>
          <c:idx val="0"/>
          <c:order val="0"/>
          <c:explosion val="0"/>
          <c:dPt>
            <c:idx val="0"/>
            <c:bubble3D val="0"/>
          </c:dPt>
          <c:dPt>
            <c:idx val="1"/>
            <c:bubble3D val="0"/>
          </c:dPt>
          <c:dPt>
            <c:idx val="2"/>
            <c:bubble3D val="0"/>
          </c:dPt>
          <c:dLbls>
            <c:dLbl>
              <c:idx val="0"/>
              <c:layout>
                <c:manualLayout>
                  <c:x val="-0.184946103102564"/>
                  <c:y val="-0.20533872658866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'HH Data'!$BL$367:$BL$369</c:f>
              <c:strCache>
                <c:ptCount val="3"/>
                <c:pt idx="0">
                  <c:v>Christian</c:v>
                </c:pt>
                <c:pt idx="1">
                  <c:v>Muslim</c:v>
                </c:pt>
                <c:pt idx="2">
                  <c:v>Traditionalist</c:v>
                </c:pt>
              </c:strCache>
            </c:strRef>
          </c:cat>
          <c:val>
            <c:numRef>
              <c:f>'HH Data'!$BN$367:$BN$369</c:f>
              <c:numCache>
                <c:formatCode>0%</c:formatCode>
                <c:ptCount val="3"/>
                <c:pt idx="0">
                  <c:v>0.755043227665706</c:v>
                </c:pt>
                <c:pt idx="1">
                  <c:v>0.221902017291066</c:v>
                </c:pt>
                <c:pt idx="2">
                  <c:v>0.0230547550432277</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extLst>
      <c:ext uri="{0b15fc19-7d7d-44ad-8c2d-2c3a37ce22c3}">
        <chartProps xmlns="https://web.wps.cn/et/2018/main" chartId="{e00a6aec-b2fb-419a-8c5e-c5c18b14c601}"/>
      </c:ext>
    </c:extLst>
  </c:chart>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Fuel used by Households</a:t>
            </a:r>
            <a:endParaRPr lang="en-US" sz="1100" i="1"/>
          </a:p>
        </c:rich>
      </c:tx>
      <c:layout/>
      <c:overlay val="0"/>
    </c:title>
    <c:autoTitleDeleted val="0"/>
    <c:plotArea>
      <c:layout>
        <c:manualLayout>
          <c:layoutTarget val="inner"/>
          <c:xMode val="edge"/>
          <c:yMode val="edge"/>
          <c:x val="0.123901281381597"/>
          <c:y val="0.138804347826087"/>
          <c:w val="0.743235375676321"/>
          <c:h val="0.822002168207227"/>
        </c:manualLayout>
      </c:layout>
      <c:pieChart>
        <c:varyColors val="1"/>
        <c:ser>
          <c:idx val="0"/>
          <c:order val="0"/>
          <c:explosion val="0"/>
          <c:dPt>
            <c:idx val="0"/>
            <c:bubble3D val="0"/>
          </c:dPt>
          <c:dPt>
            <c:idx val="1"/>
            <c:bubble3D val="0"/>
          </c:dPt>
          <c:dPt>
            <c:idx val="2"/>
            <c:bubble3D val="0"/>
          </c:dPt>
          <c:dPt>
            <c:idx val="3"/>
            <c:bubble3D val="0"/>
          </c:dPt>
          <c:dLbls>
            <c:dLbl>
              <c:idx val="0"/>
              <c:layout>
                <c:manualLayout>
                  <c:x val="-0.172389461495101"/>
                  <c:y val="0.17396527114927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97914661617285"/>
                  <c:y val="-0.22714409599422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0509263357812"/>
                  <c:y val="0.1624764655209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'HH Data'!$BP$367:$BP$370</c:f>
              <c:strCache>
                <c:ptCount val="4"/>
                <c:pt idx="0">
                  <c:v>Firewood</c:v>
                </c:pt>
                <c:pt idx="1">
                  <c:v>Charcoal</c:v>
                </c:pt>
                <c:pt idx="2">
                  <c:v>Kerosene</c:v>
                </c:pt>
                <c:pt idx="3">
                  <c:v>LPG (Gas)</c:v>
                </c:pt>
              </c:strCache>
            </c:strRef>
          </c:cat>
          <c:val>
            <c:numRef>
              <c:f>'HH Data'!$BR$367:$BR$370</c:f>
              <c:numCache>
                <c:formatCode>0%</c:formatCode>
                <c:ptCount val="4"/>
                <c:pt idx="0">
                  <c:v>0.376021798365123</c:v>
                </c:pt>
                <c:pt idx="1">
                  <c:v>0.474114441416894</c:v>
                </c:pt>
                <c:pt idx="2">
                  <c:v>0.0354223433242507</c:v>
                </c:pt>
                <c:pt idx="3">
                  <c:v>0.114441416893733</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extLst>
      <c:ext uri="{0b15fc19-7d7d-44ad-8c2d-2c3a37ce22c3}">
        <chartProps xmlns="https://web.wps.cn/et/2018/main" chartId="{c8d7bbed-c9a0-4abc-87f8-19a9a0bf49ee}"/>
      </c:ext>
    </c:extLst>
  </c:chart>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1" u="none" strike="noStrike" kern="1200" spc="0" baseline="0">
                <a:solidFill>
                  <a:srgbClr val="000000"/>
                </a:solidFill>
                <a:latin typeface="Times New Roman" panose="02020603050405020304" charset="0"/>
                <a:ea typeface="+mn-ea"/>
                <a:cs typeface="Times New Roman" panose="02020603050405020304" charset="0"/>
              </a:defRPr>
            </a:pPr>
            <a:r>
              <a:rPr lang="en-US" sz="1100" b="1" i="1" baseline="0">
                <a:effectLst/>
              </a:rPr>
              <a:t>Household Head Occupation / Economic Activity</a:t>
            </a:r>
            <a:endParaRPr lang="en-US" sz="1100">
              <a:effectLst/>
            </a:endParaRPr>
          </a:p>
        </c:rich>
      </c:tx>
      <c:layout/>
      <c:overlay val="0"/>
      <c:spPr>
        <a:noFill/>
        <a:ln>
          <a:noFill/>
        </a:ln>
        <a:effectLst/>
      </c:spPr>
    </c:title>
    <c:autoTitleDeleted val="0"/>
    <c:plotArea>
      <c:layout>
        <c:manualLayout>
          <c:layoutTarget val="inner"/>
          <c:xMode val="edge"/>
          <c:yMode val="edge"/>
          <c:x val="0.00294340423737778"/>
          <c:y val="0.141875182268883"/>
          <c:w val="0.966501001167968"/>
          <c:h val="0.645216535433072"/>
        </c:manualLayout>
      </c:layout>
      <c:barChart>
        <c:barDir val="col"/>
        <c:grouping val="clustered"/>
        <c:varyColors val="1"/>
        <c:ser>
          <c:idx val="0"/>
          <c:order val="0"/>
          <c:spPr>
            <a:scene3d>
              <a:camera prst="orthographicFront"/>
              <a:lightRig rig="threePt" dir="t"/>
            </a:scene3d>
            <a:sp3d>
              <a:bevelT/>
            </a:sp3d>
          </c:spPr>
          <c:invertIfNegative val="0"/>
          <c:dPt>
            <c:idx val="0"/>
            <c:invertIfNegative val="0"/>
            <c:bubble3D val="0"/>
            <c:spPr>
              <a:solidFill>
                <a:srgbClr val="ED7D31"/>
              </a:solidFill>
              <a:ln>
                <a:noFill/>
              </a:ln>
              <a:effectLst/>
              <a:scene3d>
                <a:camera prst="orthographicFront"/>
                <a:lightRig rig="threePt" dir="t"/>
              </a:scene3d>
              <a:sp3d>
                <a:bevelT/>
              </a:sp3d>
            </c:spPr>
          </c:dPt>
          <c:dPt>
            <c:idx val="1"/>
            <c:invertIfNegative val="0"/>
            <c:bubble3D val="0"/>
            <c:spPr>
              <a:solidFill>
                <a:srgbClr val="FFC000"/>
              </a:solidFill>
              <a:ln>
                <a:noFill/>
              </a:ln>
              <a:effectLst/>
              <a:scene3d>
                <a:camera prst="orthographicFront"/>
                <a:lightRig rig="threePt" dir="t"/>
              </a:scene3d>
              <a:sp3d>
                <a:bevelT/>
              </a:sp3d>
            </c:spPr>
          </c:dPt>
          <c:dPt>
            <c:idx val="2"/>
            <c:invertIfNegative val="0"/>
            <c:bubble3D val="0"/>
            <c:spPr>
              <a:solidFill>
                <a:srgbClr val="70AD47"/>
              </a:solidFill>
              <a:ln>
                <a:noFill/>
              </a:ln>
              <a:effectLst/>
              <a:scene3d>
                <a:camera prst="orthographicFront"/>
                <a:lightRig rig="threePt" dir="t"/>
              </a:scene3d>
              <a:sp3d>
                <a:bevelT/>
              </a:sp3d>
            </c:spPr>
          </c:dPt>
          <c:dPt>
            <c:idx val="3"/>
            <c:invertIfNegative val="0"/>
            <c:bubble3D val="0"/>
            <c:spPr>
              <a:solidFill>
                <a:srgbClr val="9E480E">
                  <a:lumMod val="60000"/>
                </a:srgbClr>
              </a:solidFill>
              <a:ln>
                <a:noFill/>
              </a:ln>
              <a:effectLst/>
              <a:scene3d>
                <a:camera prst="orthographicFront"/>
                <a:lightRig rig="threePt" dir="t"/>
              </a:scene3d>
              <a:sp3d>
                <a:bevelT/>
              </a:sp3d>
            </c:spPr>
          </c:dPt>
          <c:dPt>
            <c:idx val="4"/>
            <c:invertIfNegative val="0"/>
            <c:bubble3D val="0"/>
            <c:spPr>
              <a:solidFill>
                <a:srgbClr val="997300">
                  <a:lumMod val="60000"/>
                </a:srgbClr>
              </a:solidFill>
              <a:ln>
                <a:noFill/>
              </a:ln>
              <a:effectLst/>
              <a:scene3d>
                <a:camera prst="orthographicFront"/>
                <a:lightRig rig="threePt" dir="t"/>
              </a:scene3d>
              <a:sp3d>
                <a:bevelT/>
              </a:sp3d>
            </c:spPr>
          </c:dPt>
          <c:dPt>
            <c:idx val="5"/>
            <c:invertIfNegative val="0"/>
            <c:bubble3D val="0"/>
            <c:spPr>
              <a:solidFill>
                <a:srgbClr val="43682B">
                  <a:lumMod val="60000"/>
                </a:srgbClr>
              </a:solidFill>
              <a:ln>
                <a:noFill/>
              </a:ln>
              <a:effectLst/>
              <a:scene3d>
                <a:camera prst="orthographicFront"/>
                <a:lightRig rig="threePt" dir="t"/>
              </a:scene3d>
              <a:sp3d>
                <a:bevelT/>
              </a:sp3d>
            </c:spPr>
          </c:dPt>
          <c:dPt>
            <c:idx val="6"/>
            <c:invertIfNegative val="0"/>
            <c:bubble3D val="0"/>
            <c:spPr>
              <a:solidFill>
                <a:srgbClr val="F1975A">
                  <a:lumMod val="80000"/>
                  <a:lumOff val="20000"/>
                </a:srgbClr>
              </a:solidFill>
              <a:ln>
                <a:noFill/>
              </a:ln>
              <a:effectLst/>
              <a:scene3d>
                <a:camera prst="orthographicFront"/>
                <a:lightRig rig="threePt" dir="t"/>
              </a:scene3d>
              <a:sp3d>
                <a:bevelT/>
              </a:sp3d>
            </c:spPr>
          </c:dPt>
          <c:dPt>
            <c:idx val="7"/>
            <c:invertIfNegative val="0"/>
            <c:bubble3D val="0"/>
            <c:spPr>
              <a:solidFill>
                <a:srgbClr val="FFCD33">
                  <a:lumMod val="80000"/>
                  <a:lumOff val="20000"/>
                </a:srgbClr>
              </a:solidFill>
              <a:ln>
                <a:noFill/>
              </a:ln>
              <a:effectLst/>
              <a:scene3d>
                <a:camera prst="orthographicFront"/>
                <a:lightRig rig="threePt" dir="t"/>
              </a:scene3d>
              <a:sp3d>
                <a:bevelT/>
              </a:sp3d>
            </c:spPr>
          </c:dPt>
          <c:dPt>
            <c:idx val="8"/>
            <c:invertIfNegative val="0"/>
            <c:bubble3D val="0"/>
            <c:spPr>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'HH Data'!$AE$368:$AE$376</c:f>
              <c:strCache>
                <c:ptCount val="9"/>
                <c:pt idx="0">
                  <c:v>Business</c:v>
                </c:pt>
                <c:pt idx="1">
                  <c:v>Formal employment</c:v>
                </c:pt>
                <c:pt idx="2">
                  <c:v>Crop farming</c:v>
                </c:pt>
                <c:pt idx="3">
                  <c:v>Livestock farming</c:v>
                </c:pt>
                <c:pt idx="4">
                  <c:v>Informal employment</c:v>
                </c:pt>
                <c:pt idx="5">
                  <c:v>Fishing</c:v>
                </c:pt>
                <c:pt idx="6">
                  <c:v>Mining</c:v>
                </c:pt>
                <c:pt idx="7">
                  <c:v>Unemployed</c:v>
                </c:pt>
                <c:pt idx="8">
                  <c:v>Retired</c:v>
                </c:pt>
              </c:strCache>
            </c:strRef>
          </c:cat>
          <c:val>
            <c:numRef>
              <c:f>'HH Data'!$AG$368:$AG$376</c:f>
              <c:numCache>
                <c:formatCode>0%</c:formatCode>
                <c:ptCount val="9"/>
                <c:pt idx="0">
                  <c:v>0.493796526054591</c:v>
                </c:pt>
                <c:pt idx="1">
                  <c:v>0.1712158808933</c:v>
                </c:pt>
                <c:pt idx="2">
                  <c:v>0.114143920595533</c:v>
                </c:pt>
                <c:pt idx="3">
                  <c:v>0.101736972704715</c:v>
                </c:pt>
                <c:pt idx="4">
                  <c:v>0.0471464019851117</c:v>
                </c:pt>
                <c:pt idx="5">
                  <c:v>0.0347394540942928</c:v>
                </c:pt>
                <c:pt idx="6">
                  <c:v>0.0198511166253102</c:v>
                </c:pt>
                <c:pt idx="7">
                  <c:v>0.0124069478908189</c:v>
                </c:pt>
                <c:pt idx="8">
                  <c:v>0.00496277915632754</c:v>
                </c:pt>
              </c:numCache>
            </c:numRef>
          </c:val>
        </c:ser>
        <c:dLbls>
          <c:showLegendKey val="0"/>
          <c:showVal val="0"/>
          <c:showCatName val="0"/>
          <c:showSerName val="0"/>
          <c:showPercent val="0"/>
          <c:showBubbleSize val="0"/>
        </c:dLbls>
        <c:gapWidth val="219"/>
        <c:overlap val="-27"/>
        <c:axId val="1126188544"/>
        <c:axId val="1126182560"/>
      </c:barChart>
      <c:catAx>
        <c:axId val="1126188544"/>
        <c:scaling>
          <c:orientation val="minMax"/>
        </c:scaling>
        <c:delete val="0"/>
        <c:axPos val="b"/>
        <c:numFmt formatCode="General" sourceLinked="1"/>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1" vertOverflow="ellipsis" vert="horz" wrap="square"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crossAx val="1126182560"/>
        <c:crosses val="autoZero"/>
        <c:auto val="1"/>
        <c:lblAlgn val="ctr"/>
        <c:lblOffset val="100"/>
        <c:noMultiLvlLbl val="0"/>
      </c:catAx>
      <c:valAx>
        <c:axId val="1126182560"/>
        <c:scaling>
          <c:orientation val="minMax"/>
        </c:scaling>
        <c:delete val="1"/>
        <c:axPos val="l"/>
        <c:numFmt formatCode="0%" sourceLinked="1"/>
        <c:majorTickMark val="none"/>
        <c:minorTickMark val="none"/>
        <c:tickLblPos val="none"/>
        <c:txPr>
          <a:bodyPr rot="-60000000" spcFirstLastPara="0" vertOverflow="ellipsis" vert="horz" wrap="square"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crossAx val="1126188544"/>
        <c:crosses val="autoZero"/>
        <c:crossBetween val="between"/>
      </c:valAx>
      <c:spPr>
        <a:noFill/>
        <a:ln>
          <a:noFill/>
        </a:ln>
        <a:effectLst/>
      </c:spPr>
    </c:plotArea>
    <c:plotVisOnly val="1"/>
    <c:dispBlanksAs val="gap"/>
    <c:showDLblsOverMax val="0"/>
    <c:extLst>
      <c:ext uri="{0b15fc19-7d7d-44ad-8c2d-2c3a37ce22c3}">
        <chartProps xmlns="https://web.wps.cn/et/2018/main" chartId="{e2a74fc5-b57b-456b-b0de-d51cc55f6502}"/>
      </c:ext>
    </c:extLst>
  </c:chart>
  <c:spPr>
    <a:solidFill>
      <a:srgbClr val="FFFFFF"/>
    </a:solidFill>
    <a:ln w="9525" cap="flat" cmpd="sng" algn="ctr">
      <a:solidFill>
        <a:srgbClr val="D9D9D9">
          <a:lumMod val="15000"/>
          <a:lumOff val="85000"/>
        </a:srgbClr>
      </a:solidFill>
      <a:prstDash val="solid"/>
      <a:round/>
    </a:ln>
    <a:effectLst/>
  </c:spPr>
  <c:txPr>
    <a:bodyPr/>
    <a:lstStyle/>
    <a:p>
      <a:pPr>
        <a:defRPr lang="en-US" sz="900">
          <a:solidFill>
            <a:srgbClr val="000000"/>
          </a:solidFill>
          <a:latin typeface="Times New Roman" panose="02020603050405020304" charset="0"/>
          <a:cs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Type of Business</a:t>
            </a:r>
            <a:endParaRPr lang="en-US" sz="1100" i="1"/>
          </a:p>
        </c:rich>
      </c:tx>
      <c:layout/>
      <c:overlay val="0"/>
      <c:spPr>
        <a:noFill/>
        <a:ln>
          <a:noFill/>
        </a:ln>
        <a:effectLst/>
      </c:spPr>
    </c:title>
    <c:autoTitleDeleted val="0"/>
    <c:plotArea>
      <c:layout>
        <c:manualLayout>
          <c:layoutTarget val="inner"/>
          <c:xMode val="edge"/>
          <c:yMode val="edge"/>
          <c:x val="0.133168828349011"/>
          <c:y val="0.179349134388505"/>
          <c:w val="0.744413320941487"/>
          <c:h val="0.853443357459108"/>
        </c:manualLayout>
      </c:layout>
      <c:pieChart>
        <c:varyColors val="1"/>
        <c:ser>
          <c:idx val="0"/>
          <c:order val="0"/>
          <c:spPr/>
          <c:explosion val="25"/>
          <c:dPt>
            <c:idx val="0"/>
            <c:bubble3D val="0"/>
            <c:explosion val="5"/>
            <c:spPr>
              <a:gradFill rotWithShape="1">
                <a:gsLst>
                  <a:gs pos="0">
                    <a:srgbClr val="C5570C">
                      <a:shade val="51000"/>
                      <a:satMod val="130000"/>
                    </a:srgbClr>
                  </a:gs>
                  <a:gs pos="80000">
                    <a:srgbClr val="FF7414">
                      <a:shade val="93000"/>
                      <a:satMod val="130000"/>
                    </a:srgbClr>
                  </a:gs>
                  <a:gs pos="100000">
                    <a:srgbClr val="FF730F">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explosion val="6"/>
            <c:spPr>
              <a:gradFill rotWithShape="1">
                <a:gsLst>
                  <a:gs pos="0">
                    <a:srgbClr val="DA9C00">
                      <a:shade val="51000"/>
                      <a:satMod val="130000"/>
                    </a:srgbClr>
                  </a:gs>
                  <a:gs pos="80000">
                    <a:srgbClr val="FFCD00">
                      <a:shade val="93000"/>
                      <a:satMod val="130000"/>
                    </a:srgbClr>
                  </a:gs>
                  <a:gs pos="100000">
                    <a:srgbClr val="FFD1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explosion val="9"/>
            <c:spPr>
              <a:gradFill rotWithShape="1">
                <a:gsLst>
                  <a:gs pos="0">
                    <a:srgbClr val="4F8B27">
                      <a:shade val="51000"/>
                      <a:satMod val="130000"/>
                    </a:srgbClr>
                  </a:gs>
                  <a:gs pos="80000">
                    <a:srgbClr val="69B636">
                      <a:shade val="93000"/>
                      <a:satMod val="130000"/>
                    </a:srgbClr>
                  </a:gs>
                  <a:gs pos="100000">
                    <a:srgbClr val="69BA33">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explosion val="5"/>
            <c:spPr>
              <a:gradFill rotWithShape="1">
                <a:gsLst>
                  <a:gs pos="0">
                    <a:srgbClr val="843000">
                      <a:lumMod val="60000"/>
                      <a:shade val="51000"/>
                      <a:satMod val="130000"/>
                    </a:srgbClr>
                  </a:gs>
                  <a:gs pos="80000">
                    <a:srgbClr val="AE4100">
                      <a:lumMod val="60000"/>
                      <a:shade val="93000"/>
                      <a:satMod val="130000"/>
                    </a:srgbClr>
                  </a:gs>
                  <a:gs pos="100000">
                    <a:srgbClr val="B24100">
                      <a:lumMod val="6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explosion val="2"/>
            <c:spPr>
              <a:gradFill rotWithShape="1">
                <a:gsLst>
                  <a:gs pos="0">
                    <a:srgbClr val="815C00">
                      <a:lumMod val="60000"/>
                      <a:shade val="51000"/>
                      <a:satMod val="130000"/>
                    </a:srgbClr>
                  </a:gs>
                  <a:gs pos="80000">
                    <a:srgbClr val="AA7B00">
                      <a:lumMod val="60000"/>
                      <a:shade val="93000"/>
                      <a:satMod val="130000"/>
                    </a:srgbClr>
                  </a:gs>
                  <a:gs pos="100000">
                    <a:srgbClr val="AF7D00">
                      <a:lumMod val="6000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numFmt formatCode="General" sourceLinked="1"/>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ctr"/>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0184431303870469"/>
                  <c:y val="-0.0020122734978898"/>
                </c:manualLayout>
              </c:layout>
              <c:numFmt formatCode="General" sourceLinked="1"/>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numFmt formatCode="General" sourceLinked="1"/>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ctr"/>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ctr"/>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0.110520323934682"/>
                  <c:y val="0.00715699438470596"/>
                </c:manualLayout>
              </c:layout>
              <c:numFmt formatCode="General" sourceLinked="1"/>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ctr"/>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rgbClr val="000000">
                          <a:shade val="95000"/>
                          <a:satMod val="105000"/>
                        </a:srgbClr>
                      </a:solidFill>
                      <a:prstDash val="solid"/>
                      <a:round/>
                    </a:ln>
                    <a:effectLst/>
                  </c:spPr>
                </c15:leaderLines>
              </c:ext>
            </c:extLst>
          </c:dLbls>
          <c:cat>
            <c:strRef>
              <c:f>'HH Data'!$AZ$367:$AZ$371</c:f>
              <c:strCache>
                <c:ptCount val="5"/>
                <c:pt idx="0">
                  <c:v>Shop</c:v>
                </c:pt>
                <c:pt idx="1">
                  <c:v>M-pesa</c:v>
                </c:pt>
                <c:pt idx="2">
                  <c:v>Jua kali</c:v>
                </c:pt>
                <c:pt idx="3">
                  <c:v>Grocery</c:v>
                </c:pt>
                <c:pt idx="4">
                  <c:v>Bodaboda(Bicycle/motorbike)</c:v>
                </c:pt>
              </c:strCache>
            </c:strRef>
          </c:cat>
          <c:val>
            <c:numRef>
              <c:f>'HH Data'!$BB$367:$BB$371</c:f>
              <c:numCache>
                <c:formatCode>0%</c:formatCode>
                <c:ptCount val="5"/>
                <c:pt idx="0">
                  <c:v>0.246231155778894</c:v>
                </c:pt>
                <c:pt idx="1">
                  <c:v>0.0301507537688442</c:v>
                </c:pt>
                <c:pt idx="2">
                  <c:v>0.442211055276382</c:v>
                </c:pt>
                <c:pt idx="3">
                  <c:v>0.175879396984925</c:v>
                </c:pt>
                <c:pt idx="4">
                  <c:v>0.105527638190955</c:v>
                </c:pt>
              </c:numCache>
            </c:numRef>
          </c:val>
        </c:ser>
        <c:dLbls>
          <c:showLegendKey val="0"/>
          <c:showVal val="0"/>
          <c:showCatName val="1"/>
          <c:showSerName val="0"/>
          <c:showPercent val="1"/>
          <c:showBubbleSize val="0"/>
          <c:showLeaderLines val="1"/>
        </c:dLbls>
        <c:firstSliceAng val="0"/>
      </c:pieChart>
      <c:spPr>
        <a:noFill/>
        <a:ln w="25400">
          <a:noFill/>
        </a:ln>
        <a:effectLst/>
      </c:spPr>
    </c:plotArea>
    <c:plotVisOnly val="1"/>
    <c:dispBlanksAs val="zero"/>
    <c:showDLblsOverMax val="0"/>
    <c:extLst>
      <c:ext uri="{0b15fc19-7d7d-44ad-8c2d-2c3a37ce22c3}">
        <chartProps xmlns="https://web.wps.cn/et/2018/main" chartId="{0553b2a5-0425-4ee8-9242-17dbde4f85c3}"/>
      </c:ext>
    </c:extLst>
  </c:chart>
  <c:spPr>
    <a:solidFill>
      <a:srgbClr val="FFFFFF"/>
    </a:solidFill>
    <a:ln w="9525" cap="flat" cmpd="sng" algn="ctr">
      <a:solidFill>
        <a:srgbClr val="868686">
          <a:tint val="75000"/>
          <a:shade val="95000"/>
          <a:satMod val="105000"/>
        </a:srgbClr>
      </a:solidFill>
      <a:prstDash val="solid"/>
      <a:round/>
    </a:ln>
    <a:effectLst/>
  </c:spPr>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rgbClr val="595959">
                    <a:lumMod val="65000"/>
                    <a:lumOff val="35000"/>
                  </a:srgbClr>
                </a:solidFill>
                <a:latin typeface="+mn-lt"/>
                <a:ea typeface="+mn-ea"/>
                <a:cs typeface="+mn-cs"/>
              </a:defRPr>
            </a:pPr>
            <a:r>
              <a:rPr lang="en-US"/>
              <a:t>Average Household Income per Month</a:t>
            </a:r>
            <a:endParaRPr lang="en-US"/>
          </a:p>
        </c:rich>
      </c:tx>
      <c:layout>
        <c:manualLayout>
          <c:xMode val="edge"/>
          <c:yMode val="edge"/>
          <c:x val="0.306219965747525"/>
          <c:y val="0.0393349951859033"/>
        </c:manualLayout>
      </c:layout>
      <c:overlay val="0"/>
      <c:spPr>
        <a:noFill/>
        <a:ln>
          <a:noFill/>
        </a:ln>
        <a:effectLst/>
      </c:spPr>
    </c:title>
    <c:autoTitleDeleted val="0"/>
    <c:plotArea>
      <c:layout>
        <c:manualLayout>
          <c:layoutTarget val="inner"/>
          <c:xMode val="edge"/>
          <c:yMode val="edge"/>
          <c:x val="0.187087918358031"/>
          <c:y val="0.195059022144845"/>
          <c:w val="0.63106959456155"/>
          <c:h val="0.765845764254344"/>
        </c:manualLayout>
      </c:layout>
      <c:pieChart>
        <c:varyColors val="1"/>
        <c:ser>
          <c:idx val="0"/>
          <c:order val="0"/>
          <c:spPr/>
          <c:explosion val="6"/>
          <c:dPt>
            <c:idx val="0"/>
            <c:bubble3D val="0"/>
            <c:explosion val="3"/>
            <c:spPr>
              <a:solidFill>
                <a:srgbClr val="70AD47"/>
              </a:solidFill>
              <a:ln w="19050">
                <a:solidFill>
                  <a:srgbClr val="FFFFFF"/>
                </a:solidFill>
              </a:ln>
              <a:effectLst/>
            </c:spPr>
          </c:dPt>
          <c:dPt>
            <c:idx val="1"/>
            <c:bubble3D val="0"/>
            <c:explosion val="1"/>
            <c:spPr>
              <a:solidFill>
                <a:srgbClr val="4472C4"/>
              </a:solidFill>
              <a:ln w="19050">
                <a:solidFill>
                  <a:srgbClr val="FFFFFF"/>
                </a:solidFill>
              </a:ln>
              <a:effectLst/>
            </c:spPr>
          </c:dPt>
          <c:dPt>
            <c:idx val="2"/>
            <c:bubble3D val="0"/>
            <c:explosion val="8"/>
            <c:spPr>
              <a:solidFill>
                <a:srgbClr val="FFC000"/>
              </a:solidFill>
              <a:ln w="19050">
                <a:solidFill>
                  <a:srgbClr val="FFFFFF"/>
                </a:solidFill>
              </a:ln>
              <a:effectLst/>
            </c:spPr>
          </c:dPt>
          <c:dPt>
            <c:idx val="3"/>
            <c:bubble3D val="0"/>
            <c:explosion val="9"/>
            <c:spPr>
              <a:solidFill>
                <a:srgbClr val="43682B">
                  <a:lumMod val="60000"/>
                </a:srgbClr>
              </a:solidFill>
              <a:ln w="19050">
                <a:solidFill>
                  <a:srgbClr val="FFFFFF"/>
                </a:solidFill>
              </a:ln>
              <a:effectLst/>
            </c:spPr>
          </c:dPt>
          <c:dLbls>
            <c:dLbl>
              <c:idx val="0"/>
              <c:layout>
                <c:manualLayout>
                  <c:x val="-0.216126578032143"/>
                  <c:y val="-0.16193575739367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97598397943496"/>
                  <c:y val="0.1154191171689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667665236251232"/>
                  <c:y val="0.012178578745202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91471375101588"/>
                  <c:y val="0.042476097930546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404040">
                        <a:lumMod val="75000"/>
                        <a:lumOff val="25000"/>
                      </a:srgbClr>
                    </a:solidFill>
                    <a:latin typeface="+mn-lt"/>
                    <a:ea typeface="+mn-ea"/>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'HH Data'!$BF$367:$BF$370</c:f>
              <c:strCache>
                <c:ptCount val="4"/>
                <c:pt idx="0">
                  <c:v>Less than Kshs. 15,000</c:v>
                </c:pt>
                <c:pt idx="1">
                  <c:v>Kshs. 15, 000 - 30,000</c:v>
                </c:pt>
                <c:pt idx="2">
                  <c:v>Kshs. 30, 001 - 50,000</c:v>
                </c:pt>
                <c:pt idx="3">
                  <c:v>Above Kshs. 50,000</c:v>
                </c:pt>
              </c:strCache>
            </c:strRef>
          </c:cat>
          <c:val>
            <c:numRef>
              <c:f>'HH Data'!$BH$367:$BH$370</c:f>
              <c:numCache>
                <c:formatCode>0%</c:formatCode>
                <c:ptCount val="4"/>
                <c:pt idx="0">
                  <c:v>0.703470031545741</c:v>
                </c:pt>
                <c:pt idx="1">
                  <c:v>0.211356466876972</c:v>
                </c:pt>
                <c:pt idx="2">
                  <c:v>0.0536277602523659</c:v>
                </c:pt>
                <c:pt idx="3">
                  <c:v>0.0315457413249211</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p>
      </c:txPr>
    </c:legend>
    <c:plotVisOnly val="1"/>
    <c:dispBlanksAs val="zero"/>
    <c:showDLblsOverMax val="0"/>
    <c:extLst>
      <c:ext uri="{0b15fc19-7d7d-44ad-8c2d-2c3a37ce22c3}">
        <chartProps xmlns="https://web.wps.cn/et/2018/main" chartId="{bb96c3df-5f41-4168-8bf2-efea0646b991}"/>
      </c:ext>
    </c:extLst>
  </c:chart>
  <c:spPr>
    <a:solidFill>
      <a:srgbClr val="FFFFFF"/>
    </a:solidFill>
    <a:ln w="9525" cap="flat" cmpd="sng" algn="ctr">
      <a:solidFill>
        <a:srgbClr val="D9D9D9">
          <a:lumMod val="15000"/>
          <a:lumOff val="85000"/>
        </a:srgbClr>
      </a:solidFill>
      <a:round/>
    </a:ln>
    <a:effectLst/>
  </c:spPr>
  <c:txPr>
    <a:bodyPr/>
    <a:lstStyle/>
    <a:p>
      <a:pPr>
        <a:defRPr lang="en-US"/>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spcFirstLastPara="0"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Common Source of Water</a:t>
            </a:r>
            <a:endParaRPr lang="en-US" sz="1100" i="1"/>
          </a:p>
        </c:rich>
      </c:tx>
      <c:layout/>
      <c:overlay val="0"/>
    </c:title>
    <c:autoTitleDeleted val="0"/>
    <c:plotArea>
      <c:layout>
        <c:manualLayout>
          <c:layoutTarget val="inner"/>
          <c:xMode val="edge"/>
          <c:yMode val="edge"/>
          <c:x val="0.19225505826009"/>
          <c:y val="0.159242978288099"/>
          <c:w val="0.710882706825826"/>
          <c:h val="0.817166640934589"/>
        </c:manualLayout>
      </c:layout>
      <c:pieChart>
        <c:varyColors val="1"/>
        <c:ser>
          <c:idx val="0"/>
          <c:order val="0"/>
          <c:explosion val="25"/>
          <c:dPt>
            <c:idx val="0"/>
            <c:bubble3D val="0"/>
            <c:explosion val="4"/>
          </c:dPt>
          <c:dPt>
            <c:idx val="1"/>
            <c:bubble3D val="0"/>
            <c:explosion val="0"/>
          </c:dPt>
          <c:dPt>
            <c:idx val="2"/>
            <c:bubble3D val="0"/>
            <c:explosion val="3"/>
          </c:dPt>
          <c:dLbls>
            <c:dLbl>
              <c:idx val="0"/>
              <c:layout>
                <c:manualLayout>
                  <c:x val="-0.163149942711943"/>
                  <c:y val="0.10852290716202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03247709419417"/>
                  <c:y val="-0.19639527828341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03407454344805"/>
                  <c:y val="0.13866457057752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 sourceLinked="0"/>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'Water &amp; Sanitation'!$N$366:$N$368</c:f>
              <c:strCache>
                <c:ptCount val="3"/>
                <c:pt idx="0">
                  <c:v>Private tap </c:v>
                </c:pt>
                <c:pt idx="1">
                  <c:v>Public tap</c:v>
                </c:pt>
                <c:pt idx="2">
                  <c:v>Borehole</c:v>
                </c:pt>
              </c:strCache>
            </c:strRef>
          </c:cat>
          <c:val>
            <c:numRef>
              <c:f>'Water &amp; Sanitation'!$P$366:$P$368</c:f>
              <c:numCache>
                <c:formatCode>0%</c:formatCode>
                <c:ptCount val="3"/>
                <c:pt idx="0">
                  <c:v>0.415472779369628</c:v>
                </c:pt>
                <c:pt idx="1">
                  <c:v>0.392550143266476</c:v>
                </c:pt>
                <c:pt idx="2">
                  <c:v>0.191977077363897</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extLst>
      <c:ext uri="{0b15fc19-7d7d-44ad-8c2d-2c3a37ce22c3}">
        <chartProps xmlns="https://web.wps.cn/et/2018/main" chartId="{8b23969d-b3cc-4a73-a675-22e541b3ca43}"/>
      </c:ext>
    </c:extLst>
  </c:chart>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rot="0" spcFirstLastPara="0" vertOverflow="ellipsis" vert="horz" wrap="square" anchor="ctr" anchorCtr="1"/>
          <a:lstStyle/>
          <a:p>
            <a:pPr>
              <a:defRPr lang="en-US" sz="1100" b="1" i="1" u="none" strike="noStrike" kern="1200" baseline="0">
                <a:solidFill>
                  <a:srgbClr val="000000"/>
                </a:solidFill>
                <a:latin typeface="Times New Roman" panose="02020603050405020304" charset="0"/>
                <a:ea typeface="+mn-ea"/>
                <a:cs typeface="Times New Roman" panose="02020603050405020304" charset="0"/>
              </a:defRPr>
            </a:pPr>
            <a:r>
              <a:rPr lang="en-US" sz="1100" i="1"/>
              <a:t>Water Payment</a:t>
            </a:r>
            <a:endParaRPr lang="en-US" sz="1100" i="1"/>
          </a:p>
        </c:rich>
      </c:tx>
      <c:layout/>
      <c:overlay val="0"/>
    </c:title>
    <c:autoTitleDeleted val="0"/>
    <c:plotArea>
      <c:layout>
        <c:manualLayout>
          <c:layoutTarget val="inner"/>
          <c:xMode val="edge"/>
          <c:yMode val="edge"/>
          <c:x val="0.121646563410343"/>
          <c:y val="0.0974782644837316"/>
          <c:w val="0.744408179746761"/>
          <c:h val="0.870708561367107"/>
        </c:manualLayout>
      </c:layout>
      <c:pieChart>
        <c:varyColors val="1"/>
        <c:ser>
          <c:idx val="0"/>
          <c:order val="0"/>
          <c:explosion val="25"/>
          <c:dPt>
            <c:idx val="0"/>
            <c:bubble3D val="0"/>
            <c:explosion val="12"/>
          </c:dPt>
          <c:dPt>
            <c:idx val="1"/>
            <c:bubble3D val="0"/>
            <c:explosion val="1"/>
          </c:dPt>
          <c:dLbls>
            <c:dLbl>
              <c:idx val="0"/>
              <c:layout>
                <c:manualLayout>
                  <c:x val="-0.0839946699827781"/>
                  <c:y val="-0.25608236227110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rgbClr val="000000"/>
                    </a:solidFill>
                    <a:latin typeface="Times New Roman" panose="02020603050405020304" charset="0"/>
                    <a:ea typeface="+mn-ea"/>
                    <a:cs typeface="Times New Roman" panose="02020603050405020304" charset="0"/>
                  </a:defRPr>
                </a:pPr>
              </a:p>
            </c:txPr>
            <c:dLblPos val="in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'Water &amp; Sanitation'!$AB$366:$AB$367</c:f>
              <c:strCache>
                <c:ptCount val="2"/>
                <c:pt idx="0">
                  <c:v>Yes</c:v>
                </c:pt>
                <c:pt idx="1">
                  <c:v>No</c:v>
                </c:pt>
              </c:strCache>
            </c:strRef>
          </c:cat>
          <c:val>
            <c:numRef>
              <c:f>'Water &amp; Sanitation'!$AD$366:$AD$367</c:f>
              <c:numCache>
                <c:formatCode>0%</c:formatCode>
                <c:ptCount val="2"/>
                <c:pt idx="0">
                  <c:v>0.8486646884273</c:v>
                </c:pt>
                <c:pt idx="1">
                  <c:v>0.1513353115727</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extLst>
      <c:ext uri="{0b15fc19-7d7d-44ad-8c2d-2c3a37ce22c3}">
        <chartProps xmlns="https://web.wps.cn/et/2018/main" chartId="{b7257971-99e1-4c46-8ed5-01fcddf1fa8c}"/>
      </c:ext>
    </c:extLst>
  </c:chart>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2">
  <a:srgbClr val="ED7D31"/>
  <a:srgbClr val="FFC000"/>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rgbClr val="70AD47"/>
  <a:srgbClr val="4472C4"/>
  <a:srgbClr val="FFC000"/>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rgbClr val="70AD47"/>
  <a:srgbClr val="4472C4"/>
  <a:srgbClr val="FFC000"/>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26">
  <cs:axisTitle>
    <cs:lnRef idx="0"/>
    <cs:fillRef idx="0"/>
    <cs:effectRef idx="0"/>
    <cs:fontRef idx="minor">
      <a:srgbClr val="000000"/>
    </cs:fontRef>
    <cs:defRPr sz="1000" b="1" kern="1200"/>
  </cs:axisTitle>
  <cs:categoryAxis>
    <cs:lnRef idx="1">
      <a:srgbClr val="898989">
        <a:tint val="75000"/>
      </a:srgbClr>
    </cs:lnRef>
    <cs:fillRef idx="0"/>
    <cs:effectRef idx="0"/>
    <cs:fontRef idx="minor">
      <a:srgbClr val="000000"/>
    </cs:fontRef>
    <cs:spPr>
      <a:ln>
        <a:round/>
      </a:ln>
    </cs:spPr>
    <cs:defRPr sz="1000" kern="1200"/>
  </cs:categoryAxis>
  <cs:chartArea mods="allowNoFillOverride allowNoLineOverride">
    <cs:lnRef idx="1">
      <a:srgbClr val="898989">
        <a:tint val="75000"/>
      </a:srgbClr>
    </cs:lnRef>
    <cs:fillRef idx="1">
      <a:srgbClr val="FFFFFF"/>
    </cs:fillRef>
    <cs:effectRef idx="0"/>
    <cs:fontRef idx="minor">
      <a:srgbClr val="000000"/>
    </cs:fontRef>
    <cs:spPr>
      <a:ln>
        <a:round/>
      </a:ln>
    </cs:spPr>
    <cs:defRPr sz="1000" kern="1200"/>
  </cs:chartArea>
  <cs:dataLabel>
    <cs:lnRef idx="0"/>
    <cs:fillRef idx="0"/>
    <cs:effectRef idx="0"/>
    <cs:fontRef idx="minor">
      <a:srgbClr val="000000"/>
    </cs:fontRef>
    <cs:defRPr sz="1000" kern="1200"/>
  </cs:dataLabel>
  <cs:dataLabelCallout>
    <cs:lnRef idx="0"/>
    <cs:fillRef idx="0"/>
    <cs:effectRef idx="0"/>
    <cs:fontRef idx="minor">
      <a:srgbClr val="000000"/>
    </cs:fontRef>
    <cs:spPr>
      <a:solidFill>
        <a:srgbClr val="FFFFFF"/>
      </a:solidFill>
      <a:ln>
        <a:solidFill>
          <a:srgbClr val="595959">
            <a:lumMod val="65000"/>
            <a:lumOff val="35000"/>
          </a:srgbClr>
        </a:solidFill>
      </a:ln>
    </cs:spPr>
    <cs:defRPr sz="1000" kern="1200"/>
  </cs:dataLabelCallout>
  <cs:dataPoint>
    <cs:lnRef idx="0"/>
    <cs:fillRef idx="3">
      <cs:styleClr val="auto"/>
    </cs:fillRef>
    <cs:effectRef idx="3">
      <a:srgbClr val="000000"/>
    </cs:effectRef>
    <cs:fontRef idx="minor">
      <a:srgbClr val="000000"/>
    </cs:fontRef>
  </cs:dataPoint>
  <cs:dataPoint3D>
    <cs:lnRef idx="0"/>
    <cs:fillRef idx="3">
      <cs:styleClr val="auto"/>
    </cs:fillRef>
    <cs:effectRef idx="3">
      <a:srgbClr val="000000"/>
    </cs:effectRef>
    <cs:fontRef idx="minor">
      <a:srgbClr val="000000"/>
    </cs:fontRef>
  </cs:dataPoint3D>
  <cs:dataPointLine>
    <cs:lnRef idx="1">
      <cs:styleClr val="auto"/>
    </cs:lnRef>
    <cs:lineWidthScale>7</cs:lineWidthScale>
    <cs:fillRef idx="0"/>
    <cs:effectRef idx="0"/>
    <cs:fontRef idx="minor">
      <a:srgbClr val="000000"/>
    </cs:fontRef>
    <cs:spPr>
      <a:ln cap="rnd">
        <a:round/>
      </a:ln>
    </cs:spPr>
  </cs:dataPointLine>
  <cs:dataPointMarker>
    <cs:lnRef idx="1">
      <cs:styleClr val="auto"/>
    </cs:lnRef>
    <cs:fillRef idx="3">
      <cs:styleClr val="auto"/>
    </cs:fillRef>
    <cs:effectRef idx="3">
      <a:srgbClr val="000000"/>
    </cs:effectRef>
    <cs:fontRef idx="minor">
      <a:srgbClr val="000000"/>
    </cs:fontRef>
    <cs:spPr>
      <a:ln>
        <a:round/>
      </a:ln>
    </cs:spPr>
  </cs:dataPointMarker>
  <cs:dataPointMarkerLayout/>
  <cs:dataPointWireframe>
    <cs:lnRef idx="1">
      <cs:styleClr val="auto"/>
    </cs:lnRef>
    <cs:fillRef idx="0"/>
    <cs:effectRef idx="0"/>
    <cs:fontRef idx="minor">
      <a:srgbClr val="000000"/>
    </cs:fontRef>
    <cs:spPr>
      <a:ln>
        <a:round/>
      </a:ln>
    </cs:spPr>
  </cs:dataPointWireframe>
  <cs:dataTable>
    <cs:lnRef idx="1">
      <a:srgbClr val="898989">
        <a:tint val="75000"/>
      </a:srgbClr>
    </cs:lnRef>
    <cs:fillRef idx="0"/>
    <cs:effectRef idx="0"/>
    <cs:fontRef idx="minor">
      <a:srgbClr val="000000"/>
    </cs:fontRef>
    <cs:spPr>
      <a:ln>
        <a:round/>
      </a:ln>
    </cs:spPr>
    <cs:defRPr sz="1000" kern="1200"/>
  </cs:dataTable>
  <cs:downBar>
    <cs:lnRef idx="0"/>
    <cs:fillRef idx="3">
      <a:srgbClr val="3F3F3F">
        <a:tint val="95000"/>
      </a:srgbClr>
    </cs:fillRef>
    <cs:effectRef idx="3">
      <a:srgbClr val="000000"/>
    </cs:effectRef>
    <cs:fontRef idx="minor">
      <a:srgbClr val="000000"/>
    </cs:fontRef>
  </cs:downBar>
  <cs:dropLine>
    <cs:lnRef idx="1">
      <a:srgbClr val="000000"/>
    </cs:lnRef>
    <cs:fillRef idx="0"/>
    <cs:effectRef idx="0"/>
    <cs:fontRef idx="minor">
      <a:srgbClr val="000000"/>
    </cs:fontRef>
    <cs:spPr>
      <a:ln>
        <a:round/>
      </a:ln>
    </cs:spPr>
  </cs:dropLine>
  <cs:errorBar>
    <cs:lnRef idx="1">
      <a:srgbClr val="000000"/>
    </cs:lnRef>
    <cs:fillRef idx="1">
      <a:srgbClr val="000000"/>
    </cs:fillRef>
    <cs:effectRef idx="0"/>
    <cs:fontRef idx="minor">
      <a:srgbClr val="000000"/>
    </cs:fontRef>
    <cs:spPr>
      <a:ln>
        <a:round/>
      </a:ln>
    </cs:spPr>
  </cs:errorBar>
  <cs:floor>
    <cs:lnRef idx="1">
      <a:srgbClr val="898989">
        <a:tint val="75000"/>
      </a:srgbClr>
    </cs:lnRef>
    <cs:fillRef idx="0"/>
    <cs:effectRef idx="0"/>
    <cs:fontRef idx="minor">
      <a:srgbClr val="000000"/>
    </cs:fontRef>
    <cs:spPr>
      <a:ln>
        <a:round/>
      </a:ln>
    </cs:spPr>
  </cs:floor>
  <cs:gridlineMajor>
    <cs:lnRef idx="1">
      <a:srgbClr val="898989">
        <a:tint val="75000"/>
      </a:srgbClr>
    </cs:lnRef>
    <cs:fillRef idx="0"/>
    <cs:effectRef idx="0"/>
    <cs:fontRef idx="minor">
      <a:srgbClr val="000000"/>
    </cs:fontRef>
    <cs:spPr>
      <a:ln>
        <a:round/>
      </a:ln>
    </cs:spPr>
  </cs:gridlineMajor>
  <cs:gridlineMinor>
    <cs:lnRef idx="1">
      <a:srgbClr val="BCBCBC">
        <a:tint val="50000"/>
      </a:srgbClr>
    </cs:lnRef>
    <cs:fillRef idx="0"/>
    <cs:effectRef idx="0"/>
    <cs:fontRef idx="minor">
      <a:srgbClr val="000000"/>
    </cs:fontRef>
    <cs:spPr>
      <a:ln>
        <a:round/>
      </a:ln>
    </cs:spPr>
  </cs:gridlineMinor>
  <cs:hiLoLine>
    <cs:lnRef idx="1">
      <a:srgbClr val="000000"/>
    </cs:lnRef>
    <cs:fillRef idx="0"/>
    <cs:effectRef idx="0"/>
    <cs:fontRef idx="minor">
      <a:srgbClr val="000000"/>
    </cs:fontRef>
    <cs:spPr>
      <a:ln>
        <a:round/>
      </a:ln>
    </cs:spPr>
  </cs:hiLoLine>
  <cs:leaderLine>
    <cs:lnRef idx="1">
      <a:srgbClr val="000000"/>
    </cs:lnRef>
    <cs:fillRef idx="0"/>
    <cs:effectRef idx="0"/>
    <cs:fontRef idx="minor">
      <a:srgbClr val="000000"/>
    </cs:fontRef>
    <cs:spPr>
      <a:ln>
        <a:round/>
      </a:ln>
    </cs:spPr>
  </cs:leaderLine>
  <cs:legend>
    <cs:lnRef idx="0"/>
    <cs:fillRef idx="0"/>
    <cs:effectRef idx="0"/>
    <cs:fontRef idx="minor">
      <a:srgbClr val="000000"/>
    </cs:fontRef>
    <cs:defRPr sz="1000" kern="1200"/>
  </cs:legend>
  <cs:plotArea mods="allowNoFillOverride allowNoLineOverride">
    <cs:lnRef idx="0"/>
    <cs:fillRef idx="1">
      <a:srgbClr val="FFFFFF"/>
    </cs:fillRef>
    <cs:effectRef idx="0"/>
    <cs:fontRef idx="minor">
      <a:srgbClr val="000000"/>
    </cs:fontRef>
  </cs:plotArea>
  <cs:plotArea3D>
    <cs:lnRef idx="0"/>
    <cs:fillRef idx="0"/>
    <cs:effectRef idx="0"/>
    <cs:fontRef idx="minor">
      <a:srgbClr val="000000"/>
    </cs:fontRef>
  </cs:plotArea3D>
  <cs:seriesAxis>
    <cs:lnRef idx="1">
      <a:srgbClr val="898989">
        <a:tint val="75000"/>
      </a:srgbClr>
    </cs:lnRef>
    <cs:fillRef idx="0"/>
    <cs:effectRef idx="0"/>
    <cs:fontRef idx="minor">
      <a:srgbClr val="000000"/>
    </cs:fontRef>
    <cs:spPr>
      <a:ln>
        <a:round/>
      </a:ln>
    </cs:spPr>
    <cs:defRPr sz="1000" kern="1200"/>
  </cs:seriesAxis>
  <cs:seriesLine>
    <cs:lnRef idx="1">
      <a:srgbClr val="000000"/>
    </cs:lnRef>
    <cs:fillRef idx="0"/>
    <cs:effectRef idx="0"/>
    <cs:fontRef idx="minor">
      <a:srgbClr val="000000"/>
    </cs:fontRef>
    <cs:spPr>
      <a:ln>
        <a:round/>
      </a:ln>
    </cs:spPr>
  </cs:seriesLine>
  <cs:title>
    <cs:lnRef idx="0"/>
    <cs:fillRef idx="0"/>
    <cs:effectRef idx="0"/>
    <cs:fontRef idx="minor">
      <a:srgbClr val="000000"/>
    </cs:fontRef>
    <cs:defRPr sz="1800" b="1" kern="1200"/>
  </cs:title>
  <cs:trendline>
    <cs:lnRef idx="1">
      <a:srgbClr val="000000"/>
    </cs:lnRef>
    <cs:fillRef idx="0"/>
    <cs:effectRef idx="0"/>
    <cs:fontRef idx="minor">
      <a:srgbClr val="000000"/>
    </cs:fontRef>
    <cs:spPr>
      <a:ln cap="rnd">
        <a:round/>
      </a:ln>
    </cs:spPr>
  </cs:trendline>
  <cs:trendlineLabel>
    <cs:lnRef idx="0"/>
    <cs:fillRef idx="0"/>
    <cs:effectRef idx="0"/>
    <cs:fontRef idx="minor">
      <a:srgbClr val="000000"/>
    </cs:fontRef>
    <cs:defRPr sz="1000" kern="1200"/>
  </cs:trendlineLabel>
  <cs:upBar>
    <cs:lnRef idx="0"/>
    <cs:fillRef idx="3">
      <a:srgbClr val="F9F9F9">
        <a:tint val="5000"/>
      </a:srgbClr>
    </cs:fillRef>
    <cs:effectRef idx="3">
      <a:srgbClr val="000000"/>
    </cs:effectRef>
    <cs:fontRef idx="minor">
      <a:srgbClr val="000000"/>
    </cs:fontRef>
  </cs:upBar>
  <cs:valueAxis>
    <cs:lnRef idx="1">
      <a:srgbClr val="898989">
        <a:tint val="75000"/>
      </a:srgbClr>
    </cs:lnRef>
    <cs:fillRef idx="0"/>
    <cs:effectRef idx="0"/>
    <cs:fontRef idx="minor">
      <a:srgbClr val="000000"/>
    </cs:fontRef>
    <cs:spPr>
      <a:ln>
        <a:round/>
      </a:ln>
    </cs:spPr>
    <cs:defRPr sz="1000" kern="1200"/>
  </cs:valueAxis>
  <cs:wall>
    <cs:lnRef idx="0"/>
    <cs:fillRef idx="0"/>
    <cs:effectRef idx="0"/>
    <cs:fontRef idx="minor">
      <a:srgbClr val="000000"/>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17">
  <cs:axisTitle>
    <cs:lnRef idx="0"/>
    <cs:fillRef idx="0"/>
    <cs:effectRef idx="0"/>
    <cs:fontRef idx="minor">
      <a:srgbClr val="595959">
        <a:lumMod val="65000"/>
        <a:lumOff val="35000"/>
      </a:srgbClr>
    </cs:fontRef>
    <cs:defRPr sz="900" b="1" kern="1200"/>
  </cs:axisTitle>
  <cs:categoryAxis>
    <cs:lnRef idx="0"/>
    <cs:fillRef idx="0"/>
    <cs:effectRef idx="0"/>
    <cs:fontRef idx="minor">
      <a:srgbClr val="595959">
        <a:lumMod val="65000"/>
        <a:lumOff val="35000"/>
      </a:srgbClr>
    </cs:fontRef>
    <cs:spPr>
      <a:ln w="19050" cap="flat" cmpd="sng" algn="ctr">
        <a:solidFill>
          <a:srgbClr val="BFBFBF">
            <a:lumMod val="25000"/>
            <a:lumOff val="7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a:spAutoFit/>
    </cs:bodyPr>
  </cs:dataLabelCallout>
  <cs:dataPoint>
    <cs:lnRef idx="0"/>
    <cs:fillRef idx="0">
      <cs:styleClr val="auto"/>
    </cs:fillRef>
    <cs:effectRef idx="0">
      <cs:styleClr val="auto"/>
    </cs:effectRef>
    <cs:fontRef idx="minor">
      <a:srgbClr val="000000"/>
    </cs:fontRef>
    <cs:spPr>
      <a:pattFill prst="narVert">
        <a:fgClr>
          <a:srgbClr val="FFFFFF"/>
        </a:fgClr>
        <a:bgClr>
          <a:srgbClr val="FFFFFF">
            <a:lumMod val="20000"/>
            <a:lumOff val="80000"/>
          </a:srgbClr>
        </a:bgClr>
      </a:pattFill>
      <a:effectLst>
        <a:innerShdw blurRad="114300">
          <a:srgbClr val="FFFFFF"/>
        </a:innerShdw>
      </a:effectLst>
    </cs:spPr>
  </cs:dataPoint>
  <cs:dataPoint3D>
    <cs:lnRef idx="0"/>
    <cs:fillRef idx="0">
      <cs:styleClr val="auto"/>
    </cs:fillRef>
    <cs:effectRef idx="0"/>
    <cs:fontRef idx="minor">
      <a:srgbClr val="000000"/>
    </cs:fontRef>
    <cs:spPr>
      <a:pattFill prst="narVert">
        <a:fgClr>
          <a:srgbClr val="FFFFFF"/>
        </a:fgClr>
        <a:bgClr>
          <a:srgbClr val="FFFFFF">
            <a:lumMod val="20000"/>
            <a:lumOff val="80000"/>
          </a:srgbClr>
        </a:bgClr>
      </a:pattFill>
      <a:effectLst>
        <a:innerShdw blurRad="114300">
          <a:srgbClr val="FFFFFF"/>
        </a:innerShdw>
      </a:effectLst>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fillRef idx="0">
      <cs:styleClr val="auto"/>
    </cs:fillRef>
    <cs:effectRef idx="0"/>
    <cs:fontRef idx="minor">
      <a:srgbClr val="000000"/>
    </cs:fontRef>
    <cs:spPr>
      <a:solidFill>
        <a:srgbClr val="FFFFFF"/>
      </a:solidFill>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ln w="9525">
        <a:solidFill>
          <a:srgbClr val="D9D9D9">
            <a:lumMod val="15000"/>
            <a:lumOff val="85000"/>
          </a:srgbClr>
        </a:solidFill>
      </a:ln>
    </cs:spPr>
    <cs:defRPr sz="900" kern="1200"/>
  </cs:dataTable>
  <cs:downBar>
    <cs:lnRef idx="0"/>
    <cs:fillRef idx="0"/>
    <cs:effectRef idx="0"/>
    <cs:fontRef idx="minor">
      <a:srgbClr val="000000"/>
    </cs:fontRef>
    <cs:spPr>
      <a:solidFill>
        <a:srgbClr val="404040">
          <a:lumMod val="75000"/>
          <a:lumOff val="25000"/>
        </a:srgbClr>
      </a:solidFill>
      <a:ln w="9525">
        <a:solidFill>
          <a:srgbClr val="808080">
            <a:lumMod val="50000"/>
            <a:lumOff val="50000"/>
          </a:srgbClr>
        </a:solidFill>
      </a:ln>
    </cs:spPr>
  </cs:downBar>
  <cs:dropLine>
    <cs:lnRef idx="0"/>
    <cs:fillRef idx="0"/>
    <cs:effectRef idx="0"/>
    <cs:fontRef idx="minor">
      <a:srgbClr val="000000"/>
    </cs:fontRef>
    <cs:spPr>
      <a:ln w="9525">
        <a:solidFill>
          <a:srgbClr val="A6A6A6">
            <a:lumMod val="35000"/>
            <a:lumOff val="65000"/>
          </a:srgbClr>
        </a:solidFill>
        <a:round/>
      </a:ln>
    </cs:spPr>
  </cs:dropLine>
  <cs:errorBar>
    <cs:lnRef idx="0"/>
    <cs:fillRef idx="0"/>
    <cs:effectRef idx="0"/>
    <cs:fontRef idx="minor">
      <a:srgbClr val="000000"/>
    </cs:fontRef>
    <cs:spPr>
      <a:ln w="9525">
        <a:solidFill>
          <a:srgbClr val="808080">
            <a:lumMod val="50000"/>
            <a:lumOff val="50000"/>
          </a:srgbClr>
        </a:solidFill>
        <a:round/>
      </a:ln>
    </cs:spPr>
  </cs:errorBar>
  <cs:floor>
    <cs:lnRef idx="0"/>
    <cs:fillRef idx="0"/>
    <cs:effectRef idx="0"/>
    <cs:fontRef idx="minor">
      <a:srgbClr val="000000"/>
    </cs:fontRef>
  </cs:floor>
  <cs:gridlineMajor>
    <cs:lnRef idx="0"/>
    <cs:fillRef idx="0"/>
    <cs:effectRef idx="0"/>
    <cs:fontRef idx="minor">
      <a:srgbClr val="000000"/>
    </cs:fontRef>
    <cs:spPr>
      <a:ln>
        <a:solidFill>
          <a:srgbClr val="D9D9D9">
            <a:lumMod val="15000"/>
            <a:lumOff val="85000"/>
          </a:srgbClr>
        </a:solidFill>
      </a:ln>
    </cs:spPr>
  </cs:gridlineMajor>
  <cs:gridlineMinor>
    <cs:lnRef idx="0"/>
    <cs:fillRef idx="0"/>
    <cs:effectRef idx="0"/>
    <cs:fontRef idx="minor">
      <a:srgbClr val="000000"/>
    </cs:fontRef>
    <cs:spPr>
      <a:ln>
        <a:solidFill>
          <a:srgbClr val="F2F2F2">
            <a:lumMod val="5000"/>
            <a:lumOff val="95000"/>
          </a:srgbClr>
        </a:solidFill>
      </a:ln>
    </cs:spPr>
  </cs:gridlineMinor>
  <cs:hiLoLine>
    <cs:lnRef idx="0"/>
    <cs:fillRef idx="0"/>
    <cs:effectRef idx="0"/>
    <cs:fontRef idx="minor">
      <a:srgbClr val="000000"/>
    </cs:fontRef>
    <cs:spPr>
      <a:ln w="9525">
        <a:solidFill>
          <a:srgbClr val="A6A6A6">
            <a:lumMod val="35000"/>
            <a:lumOff val="65000"/>
          </a:srgbClr>
        </a:solidFill>
        <a:round/>
      </a:ln>
    </cs:spPr>
  </cs:hiLoLine>
  <cs:leaderLine>
    <cs:lnRef idx="0"/>
    <cs:fillRef idx="0"/>
    <cs:effectRef idx="0"/>
    <cs:fontRef idx="minor">
      <a:srgbClr val="000000"/>
    </cs:fontRef>
    <cs:spPr>
      <a:ln w="9525">
        <a:solidFill>
          <a:srgbClr val="A6A6A6">
            <a:lumMod val="35000"/>
            <a:lumOff val="65000"/>
          </a:srgbClr>
        </a:solidFill>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808080">
        <a:lumMod val="50000"/>
        <a:lumOff val="50000"/>
      </a:srgbClr>
    </cs:fontRef>
    <cs:defRPr sz="1800" b="1" kern="1200" cap="all" spc="150" baseline="0"/>
  </cs:title>
  <cs:trendline>
    <cs:lnRef idx="0">
      <cs:styleClr val="auto"/>
    </cs:lnRef>
    <cs:fillRef idx="0"/>
    <cs:effectRef idx="0"/>
    <cs:fontRef idx="minor">
      <a:srgbClr val="000000"/>
    </cs:fontRef>
    <cs:spPr>
      <a:ln w="19050" cap="rnd">
        <a:solidFill>
          <a:srgbClr val="FFFFFF"/>
        </a:solidFill>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808080">
            <a:lumMod val="50000"/>
            <a:lumOff val="50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wall>
</cs:chartStyle>
</file>

<file path=word/charts/style5.xml><?xml version="1.0" encoding="utf-8"?>
<cs:chartStyle xmlns:cs="http://schemas.microsoft.com/office/drawing/2012/chartStyle" xmlns:a="http://schemas.openxmlformats.org/drawingml/2006/main" id="129">
  <cs:axisTitle>
    <cs:lnRef idx="0"/>
    <cs:fillRef idx="0"/>
    <cs:effectRef idx="0"/>
    <cs:fontRef idx="minor">
      <a:srgbClr val="000000"/>
    </cs:fontRef>
    <cs:defRPr sz="1000" b="1" kern="1200"/>
  </cs:axisTitle>
  <cs:categoryAxis>
    <cs:lnRef idx="1">
      <a:srgbClr val="898989">
        <a:tint val="75000"/>
      </a:srgbClr>
    </cs:lnRef>
    <cs:fillRef idx="0"/>
    <cs:effectRef idx="0"/>
    <cs:fontRef idx="minor">
      <a:srgbClr val="000000"/>
    </cs:fontRef>
    <cs:spPr>
      <a:ln>
        <a:round/>
      </a:ln>
    </cs:spPr>
    <cs:defRPr sz="1000" kern="1200"/>
  </cs:categoryAxis>
  <cs:chartArea mods="allowNoFillOverride allowNoLineOverride">
    <cs:lnRef idx="1">
      <a:srgbClr val="898989">
        <a:tint val="75000"/>
      </a:srgbClr>
    </cs:lnRef>
    <cs:fillRef idx="1">
      <a:srgbClr val="FFFFFF"/>
    </cs:fillRef>
    <cs:effectRef idx="0"/>
    <cs:fontRef idx="minor">
      <a:srgbClr val="000000"/>
    </cs:fontRef>
    <cs:spPr>
      <a:ln>
        <a:round/>
      </a:ln>
    </cs:spPr>
    <cs:defRPr sz="1000" kern="1200"/>
  </cs:chartArea>
  <cs:dataLabel>
    <cs:lnRef idx="0"/>
    <cs:fillRef idx="0"/>
    <cs:effectRef idx="0"/>
    <cs:fontRef idx="minor">
      <a:srgbClr val="000000"/>
    </cs:fontRef>
    <cs:defRPr sz="1000" kern="1200"/>
  </cs:dataLabel>
  <cs:dataLabelCallout>
    <cs:lnRef idx="0"/>
    <cs:fillRef idx="0"/>
    <cs:effectRef idx="0"/>
    <cs:fontRef idx="minor">
      <a:srgbClr val="000000"/>
    </cs:fontRef>
    <cs:spPr>
      <a:solidFill>
        <a:srgbClr val="FFFFFF"/>
      </a:solidFill>
      <a:ln>
        <a:solidFill>
          <a:srgbClr val="595959">
            <a:lumMod val="65000"/>
            <a:lumOff val="35000"/>
          </a:srgbClr>
        </a:solidFill>
      </a:ln>
    </cs:spPr>
    <cs:defRPr sz="1000" kern="1200"/>
  </cs:dataLabelCallout>
  <cs:dataPoint>
    <cs:lnRef idx="0"/>
    <cs:fillRef idx="3">
      <cs:styleClr val="auto"/>
    </cs:fillRef>
    <cs:effectRef idx="3">
      <a:srgbClr val="000000"/>
    </cs:effectRef>
    <cs:fontRef idx="minor">
      <a:srgbClr val="000000"/>
    </cs:fontRef>
  </cs:dataPoint>
  <cs:dataPoint3D>
    <cs:lnRef idx="0"/>
    <cs:fillRef idx="1">
      <cs:styleClr val="auto"/>
    </cs:fillRef>
    <cs:effectRef idx="3">
      <a:srgbClr val="000000"/>
    </cs:effectRef>
    <cs:fontRef idx="minor">
      <a:srgbClr val="000000"/>
    </cs:fontRef>
  </cs:dataPoint3D>
  <cs:dataPointLine>
    <cs:lnRef idx="1">
      <cs:styleClr val="auto"/>
    </cs:lnRef>
    <cs:lineWidthScale>7</cs:lineWidthScale>
    <cs:fillRef idx="0"/>
    <cs:effectRef idx="0"/>
    <cs:fontRef idx="minor">
      <a:srgbClr val="000000"/>
    </cs:fontRef>
    <cs:spPr>
      <a:ln cap="rnd">
        <a:round/>
      </a:ln>
    </cs:spPr>
  </cs:dataPointLine>
  <cs:dataPointMarker>
    <cs:lnRef idx="1">
      <cs:styleClr val="auto"/>
    </cs:lnRef>
    <cs:fillRef idx="3">
      <cs:styleClr val="auto"/>
    </cs:fillRef>
    <cs:effectRef idx="3">
      <a:srgbClr val="000000"/>
    </cs:effectRef>
    <cs:fontRef idx="minor">
      <a:srgbClr val="000000"/>
    </cs:fontRef>
    <cs:spPr>
      <a:ln>
        <a:round/>
      </a:ln>
    </cs:spPr>
  </cs:dataPointMarker>
  <cs:dataPointMarkerLayout/>
  <cs:dataPointWireframe>
    <cs:lnRef idx="1">
      <cs:styleClr val="auto"/>
    </cs:lnRef>
    <cs:fillRef idx="0"/>
    <cs:effectRef idx="0"/>
    <cs:fontRef idx="minor">
      <a:srgbClr val="000000"/>
    </cs:fontRef>
    <cs:spPr>
      <a:ln>
        <a:round/>
      </a:ln>
    </cs:spPr>
  </cs:dataPointWireframe>
  <cs:dataTable>
    <cs:lnRef idx="1">
      <a:srgbClr val="898989">
        <a:tint val="75000"/>
      </a:srgbClr>
    </cs:lnRef>
    <cs:fillRef idx="0"/>
    <cs:effectRef idx="0"/>
    <cs:fontRef idx="minor">
      <a:srgbClr val="000000"/>
    </cs:fontRef>
    <cs:spPr>
      <a:ln>
        <a:round/>
      </a:ln>
    </cs:spPr>
    <cs:defRPr sz="1000" kern="1200"/>
  </cs:dataTable>
  <cs:downBar>
    <cs:lnRef idx="0"/>
    <cs:fillRef idx="3" mods="ignoreCSTransforms">
      <cs:styleClr val="0">
        <a:shade val="25000"/>
      </cs:styleClr>
    </cs:fillRef>
    <cs:effectRef idx="3">
      <a:srgbClr val="000000"/>
    </cs:effectRef>
    <cs:fontRef idx="minor">
      <a:srgbClr val="000000"/>
    </cs:fontRef>
  </cs:downBar>
  <cs:dropLine>
    <cs:lnRef idx="1">
      <a:srgbClr val="000000"/>
    </cs:lnRef>
    <cs:fillRef idx="0"/>
    <cs:effectRef idx="0"/>
    <cs:fontRef idx="minor">
      <a:srgbClr val="000000"/>
    </cs:fontRef>
    <cs:spPr>
      <a:ln>
        <a:round/>
      </a:ln>
    </cs:spPr>
  </cs:dropLine>
  <cs:errorBar>
    <cs:lnRef idx="1">
      <a:srgbClr val="000000"/>
    </cs:lnRef>
    <cs:fillRef idx="1">
      <a:srgbClr val="000000"/>
    </cs:fillRef>
    <cs:effectRef idx="0"/>
    <cs:fontRef idx="minor">
      <a:srgbClr val="000000"/>
    </cs:fontRef>
    <cs:spPr>
      <a:ln>
        <a:round/>
      </a:ln>
    </cs:spPr>
  </cs:errorBar>
  <cs:floor>
    <cs:lnRef idx="1">
      <a:srgbClr val="898989">
        <a:tint val="75000"/>
      </a:srgbClr>
    </cs:lnRef>
    <cs:fillRef idx="0"/>
    <cs:effectRef idx="0"/>
    <cs:fontRef idx="minor">
      <a:srgbClr val="000000"/>
    </cs:fontRef>
    <cs:spPr>
      <a:ln>
        <a:round/>
      </a:ln>
    </cs:spPr>
  </cs:floor>
  <cs:gridlineMajor>
    <cs:lnRef idx="1">
      <a:srgbClr val="898989">
        <a:tint val="75000"/>
      </a:srgbClr>
    </cs:lnRef>
    <cs:fillRef idx="0"/>
    <cs:effectRef idx="0"/>
    <cs:fontRef idx="minor">
      <a:srgbClr val="000000"/>
    </cs:fontRef>
    <cs:spPr>
      <a:ln>
        <a:round/>
      </a:ln>
    </cs:spPr>
  </cs:gridlineMajor>
  <cs:gridlineMinor>
    <cs:lnRef idx="1">
      <a:srgbClr val="BCBCBC">
        <a:tint val="50000"/>
      </a:srgbClr>
    </cs:lnRef>
    <cs:fillRef idx="0"/>
    <cs:effectRef idx="0"/>
    <cs:fontRef idx="minor">
      <a:srgbClr val="000000"/>
    </cs:fontRef>
    <cs:spPr>
      <a:ln>
        <a:round/>
      </a:ln>
    </cs:spPr>
  </cs:gridlineMinor>
  <cs:hiLoLine>
    <cs:lnRef idx="1">
      <a:srgbClr val="000000"/>
    </cs:lnRef>
    <cs:fillRef idx="0"/>
    <cs:effectRef idx="0"/>
    <cs:fontRef idx="minor">
      <a:srgbClr val="000000"/>
    </cs:fontRef>
    <cs:spPr>
      <a:ln>
        <a:round/>
      </a:ln>
    </cs:spPr>
  </cs:hiLoLine>
  <cs:leaderLine>
    <cs:lnRef idx="1">
      <a:srgbClr val="000000"/>
    </cs:lnRef>
    <cs:fillRef idx="0"/>
    <cs:effectRef idx="0"/>
    <cs:fontRef idx="minor">
      <a:srgbClr val="000000"/>
    </cs:fontRef>
    <cs:spPr>
      <a:ln>
        <a:round/>
      </a:ln>
    </cs:spPr>
  </cs:leaderLine>
  <cs:legend>
    <cs:lnRef idx="0"/>
    <cs:fillRef idx="0"/>
    <cs:effectRef idx="0"/>
    <cs:fontRef idx="minor">
      <a:srgbClr val="000000"/>
    </cs:fontRef>
    <cs:defRPr sz="1000" kern="1200"/>
  </cs:legend>
  <cs:plotArea mods="allowNoFillOverride allowNoLineOverride">
    <cs:lnRef idx="0"/>
    <cs:fillRef idx="1">
      <a:srgbClr val="FFFFFF"/>
    </cs:fillRef>
    <cs:effectRef idx="0"/>
    <cs:fontRef idx="minor">
      <a:srgbClr val="000000"/>
    </cs:fontRef>
  </cs:plotArea>
  <cs:plotArea3D>
    <cs:lnRef idx="0"/>
    <cs:fillRef idx="0"/>
    <cs:effectRef idx="0"/>
    <cs:fontRef idx="minor">
      <a:srgbClr val="000000"/>
    </cs:fontRef>
  </cs:plotArea3D>
  <cs:seriesAxis>
    <cs:lnRef idx="1">
      <a:srgbClr val="898989">
        <a:tint val="75000"/>
      </a:srgbClr>
    </cs:lnRef>
    <cs:fillRef idx="0"/>
    <cs:effectRef idx="0"/>
    <cs:fontRef idx="minor">
      <a:srgbClr val="000000"/>
    </cs:fontRef>
    <cs:spPr>
      <a:ln>
        <a:round/>
      </a:ln>
    </cs:spPr>
    <cs:defRPr sz="1000" kern="1200"/>
  </cs:seriesAxis>
  <cs:seriesLine>
    <cs:lnRef idx="1">
      <a:srgbClr val="000000"/>
    </cs:lnRef>
    <cs:fillRef idx="0"/>
    <cs:effectRef idx="0"/>
    <cs:fontRef idx="minor">
      <a:srgbClr val="000000"/>
    </cs:fontRef>
    <cs:spPr>
      <a:ln>
        <a:round/>
      </a:ln>
    </cs:spPr>
  </cs:seriesLine>
  <cs:title>
    <cs:lnRef idx="0"/>
    <cs:fillRef idx="0"/>
    <cs:effectRef idx="0"/>
    <cs:fontRef idx="minor">
      <a:srgbClr val="000000"/>
    </cs:fontRef>
    <cs:defRPr sz="1800" b="1" kern="1200"/>
  </cs:title>
  <cs:trendline>
    <cs:lnRef idx="1">
      <a:srgbClr val="000000"/>
    </cs:lnRef>
    <cs:fillRef idx="0"/>
    <cs:effectRef idx="0"/>
    <cs:fontRef idx="minor">
      <a:srgbClr val="000000"/>
    </cs:fontRef>
    <cs:spPr>
      <a:ln cap="rnd">
        <a:round/>
      </a:ln>
    </cs:spPr>
  </cs:trendline>
  <cs:trendlineLabel>
    <cs:lnRef idx="0"/>
    <cs:fillRef idx="0"/>
    <cs:effectRef idx="0"/>
    <cs:fontRef idx="minor">
      <a:srgbClr val="000000"/>
    </cs:fontRef>
    <cs:defRPr sz="1000" kern="1200"/>
  </cs:trendlineLabel>
  <cs:upBar>
    <cs:lnRef idx="0"/>
    <cs:fillRef idx="3" mods="ignoreCSTransforms">
      <cs:styleClr val="0">
        <a:tint val="25000"/>
      </cs:styleClr>
    </cs:fillRef>
    <cs:effectRef idx="3">
      <a:srgbClr val="000000"/>
    </cs:effectRef>
    <cs:fontRef idx="minor">
      <a:srgbClr val="000000"/>
    </cs:fontRef>
  </cs:upBar>
  <cs:valueAxis>
    <cs:lnRef idx="1">
      <a:srgbClr val="898989">
        <a:tint val="75000"/>
      </a:srgbClr>
    </cs:lnRef>
    <cs:fillRef idx="0"/>
    <cs:effectRef idx="0"/>
    <cs:fontRef idx="minor">
      <a:srgbClr val="000000"/>
    </cs:fontRef>
    <cs:spPr>
      <a:ln>
        <a:round/>
      </a:ln>
    </cs:spPr>
    <cs:defRPr sz="1000" kern="1200"/>
  </cs:valueAxis>
  <cs:wall>
    <cs:lnRef idx="0"/>
    <cs:fillRef idx="0"/>
    <cs:effectRef idx="0"/>
    <cs:fontRef idx="minor">
      <a:srgbClr val="000000"/>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B0B304-E6B6-4328-AC97-CD18F41191B1}">
  <ds:schemaRefs/>
</ds:datastoreItem>
</file>

<file path=docProps/app.xml><?xml version="1.0" encoding="utf-8"?>
<Properties xmlns="http://schemas.openxmlformats.org/officeDocument/2006/extended-properties" xmlns:vt="http://schemas.openxmlformats.org/officeDocument/2006/docPropsVTypes">
  <Template>Normal</Template>
  <Pages>156</Pages>
  <Words>19935</Words>
  <Characters>117266</Characters>
  <Lines>1945</Lines>
  <Paragraphs>547</Paragraphs>
  <TotalTime>26</TotalTime>
  <ScaleCrop>false</ScaleCrop>
  <LinksUpToDate>false</LinksUpToDate>
  <CharactersWithSpaces>136130</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2026-03-24T05:53:00Z</dcterms:created>
  <dc:creator>Nyambura Virginia</dc:creator>
  <cp:lastModifiedBy>Nyambura Virginia</cp:lastModifiedBy>
  <cp:lastPrinted>2025-12-12T01:23:00Z</cp:lastPrinted>
  <dcterms:modified xsi:type="dcterms:W3CDTF">2026-03-30T06:48:04Z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E8A2BC8214BB42A8921C00AC7F4AE39C_13</vt:lpwstr>
  </property>
  <property fmtid="{D5CDD505-2E9C-101B-9397-08002B2CF9AE}" pid="4" name="GrammarlyDocumentId">
    <vt:lpwstr>3aa4cd2c-3064-476a-b13b-cc4d3bdbc8ac</vt:lpwstr>
  </property>
  <property fmtid="{D5CDD505-2E9C-101B-9397-08002B2CF9AE}" pid="5" name="KSOTemplateDocerSaveRecord">
    <vt:lpwstr>eyJoZGlkIjoiMTVkZmVkZjc2ODc1YWQxNDFiYTE1MTMwM2U3NGVhN2QiLCJ1c2VySWQiOiIzNzI4MzY5NzI5Mjc4In0=</vt:lpwstr>
  </property>
</Properties>
</file>